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0B03B" w14:textId="77CA614A" w:rsidR="00202107" w:rsidRDefault="00202107" w:rsidP="00202107">
      <w:pPr>
        <w:jc w:val="both"/>
        <w:rPr>
          <w:rFonts w:asciiTheme="minorHAnsi" w:hAnsiTheme="minorHAnsi" w:cstheme="minorHAnsi"/>
          <w:b/>
          <w:bCs/>
          <w:i/>
          <w:iCs/>
          <w:sz w:val="32"/>
          <w:szCs w:val="32"/>
          <w:lang w:val="en-US"/>
        </w:rPr>
      </w:pPr>
      <w:r w:rsidRPr="00042E3D">
        <w:rPr>
          <w:rFonts w:asciiTheme="minorHAnsi" w:hAnsiTheme="minorHAnsi" w:cstheme="minorHAnsi"/>
          <w:b/>
          <w:bCs/>
          <w:i/>
          <w:iCs/>
          <w:sz w:val="32"/>
          <w:szCs w:val="32"/>
          <w:lang w:val="en-US"/>
        </w:rPr>
        <w:t xml:space="preserve">In vitro neutralizing activity of BNT162b2 mRNA-induced antibodies against full B.1.351 SARS-CoV-2 variant </w:t>
      </w:r>
    </w:p>
    <w:p w14:paraId="6679485B" w14:textId="55D9C232" w:rsidR="00425AA2" w:rsidRDefault="00425AA2" w:rsidP="00202107">
      <w:pPr>
        <w:jc w:val="both"/>
        <w:rPr>
          <w:rFonts w:asciiTheme="minorHAnsi" w:hAnsiTheme="minorHAnsi" w:cstheme="minorHAnsi"/>
          <w:b/>
          <w:bCs/>
          <w:i/>
          <w:iCs/>
          <w:sz w:val="32"/>
          <w:szCs w:val="32"/>
          <w:lang w:val="en-US"/>
        </w:rPr>
      </w:pPr>
    </w:p>
    <w:p w14:paraId="52C861D5" w14:textId="304DC580" w:rsidR="00425AA2" w:rsidRDefault="00425AA2" w:rsidP="00425AA2">
      <w:pPr>
        <w:jc w:val="both"/>
        <w:rPr>
          <w:rFonts w:asciiTheme="minorHAnsi" w:hAnsiTheme="minorHAnsi" w:cstheme="minorHAnsi"/>
          <w:b/>
          <w:bCs/>
          <w:i/>
          <w:iCs/>
          <w:sz w:val="32"/>
          <w:szCs w:val="32"/>
          <w:lang w:val="en-US"/>
        </w:rPr>
      </w:pPr>
      <w:r w:rsidRPr="001A66B2">
        <w:rPr>
          <w:rFonts w:asciiTheme="minorHAnsi" w:hAnsiTheme="minorHAnsi" w:cstheme="minorHAnsi"/>
          <w:b/>
          <w:bCs/>
          <w:i/>
          <w:iCs/>
          <w:sz w:val="32"/>
          <w:szCs w:val="32"/>
          <w:highlight w:val="cyan"/>
          <w:lang w:val="en-US"/>
        </w:rPr>
        <w:t>Short Running Title: Neutralizing activity of antibodies against B.1.351 SARS-CoV-2</w:t>
      </w:r>
    </w:p>
    <w:p w14:paraId="1DFBCAAA" w14:textId="6C5E15D9" w:rsidR="00425AA2" w:rsidRPr="00042E3D" w:rsidRDefault="00425AA2" w:rsidP="00202107">
      <w:pPr>
        <w:jc w:val="both"/>
        <w:rPr>
          <w:rFonts w:asciiTheme="minorHAnsi" w:hAnsiTheme="minorHAnsi" w:cstheme="minorHAnsi"/>
          <w:b/>
          <w:bCs/>
          <w:i/>
          <w:iCs/>
          <w:sz w:val="32"/>
          <w:szCs w:val="32"/>
          <w:lang w:val="en-US"/>
        </w:rPr>
      </w:pPr>
    </w:p>
    <w:p w14:paraId="3FA59968" w14:textId="77777777" w:rsidR="00202107" w:rsidRPr="00042E3D" w:rsidRDefault="00202107" w:rsidP="00202107">
      <w:pPr>
        <w:jc w:val="both"/>
        <w:rPr>
          <w:rFonts w:asciiTheme="minorHAnsi" w:hAnsiTheme="minorHAnsi" w:cstheme="minorHAnsi"/>
          <w:b/>
          <w:bCs/>
          <w:i/>
          <w:iCs/>
          <w:sz w:val="32"/>
          <w:szCs w:val="32"/>
          <w:lang w:val="en-US"/>
        </w:rPr>
      </w:pPr>
    </w:p>
    <w:p w14:paraId="4EFAF9AE" w14:textId="77777777" w:rsidR="00202107" w:rsidRDefault="00202107" w:rsidP="00202107">
      <w:pPr>
        <w:jc w:val="both"/>
        <w:rPr>
          <w:rFonts w:asciiTheme="minorHAnsi" w:hAnsiTheme="minorHAnsi" w:cstheme="minorHAnsi"/>
          <w:b/>
          <w:bCs/>
          <w:vertAlign w:val="superscript"/>
        </w:rPr>
      </w:pPr>
      <w:r w:rsidRPr="005519EC">
        <w:rPr>
          <w:rFonts w:asciiTheme="minorHAnsi" w:hAnsiTheme="minorHAnsi" w:cstheme="minorHAnsi"/>
          <w:b/>
          <w:bCs/>
        </w:rPr>
        <w:t>Esther Serrano-Conde</w:t>
      </w:r>
      <w:r w:rsidRPr="005519EC">
        <w:rPr>
          <w:rFonts w:asciiTheme="minorHAnsi" w:hAnsiTheme="minorHAnsi" w:cstheme="minorHAnsi"/>
          <w:b/>
          <w:bCs/>
          <w:vertAlign w:val="superscript"/>
        </w:rPr>
        <w:t>1+</w:t>
      </w:r>
      <w:r w:rsidRPr="005519EC">
        <w:rPr>
          <w:rFonts w:asciiTheme="minorHAnsi" w:hAnsiTheme="minorHAnsi" w:cstheme="minorHAnsi"/>
          <w:b/>
          <w:bCs/>
        </w:rPr>
        <w:t>, Alba Leyva</w:t>
      </w:r>
      <w:r w:rsidRPr="005519EC">
        <w:rPr>
          <w:rFonts w:asciiTheme="minorHAnsi" w:hAnsiTheme="minorHAnsi" w:cstheme="minorHAnsi"/>
          <w:b/>
          <w:bCs/>
          <w:vertAlign w:val="superscript"/>
        </w:rPr>
        <w:t>2+</w:t>
      </w:r>
      <w:r w:rsidRPr="005519EC">
        <w:rPr>
          <w:rFonts w:asciiTheme="minorHAnsi" w:hAnsiTheme="minorHAnsi" w:cstheme="minorHAnsi"/>
          <w:b/>
          <w:bCs/>
        </w:rPr>
        <w:t>, Ana Fuentes</w:t>
      </w:r>
      <w:r w:rsidRPr="005519EC">
        <w:rPr>
          <w:rFonts w:asciiTheme="minorHAnsi" w:hAnsiTheme="minorHAnsi" w:cstheme="minorHAnsi"/>
          <w:b/>
          <w:bCs/>
          <w:vertAlign w:val="superscript"/>
        </w:rPr>
        <w:t>1</w:t>
      </w:r>
      <w:r w:rsidRPr="005519EC">
        <w:rPr>
          <w:rFonts w:asciiTheme="minorHAnsi" w:hAnsiTheme="minorHAnsi" w:cstheme="minorHAnsi"/>
          <w:b/>
          <w:bCs/>
        </w:rPr>
        <w:t>, Adolfo de Salazar</w:t>
      </w:r>
      <w:r w:rsidRPr="005519EC">
        <w:rPr>
          <w:rFonts w:asciiTheme="minorHAnsi" w:hAnsiTheme="minorHAnsi" w:cstheme="minorHAnsi"/>
          <w:b/>
          <w:bCs/>
          <w:vertAlign w:val="superscript"/>
        </w:rPr>
        <w:t>1</w:t>
      </w:r>
      <w:r w:rsidRPr="005519EC">
        <w:rPr>
          <w:rFonts w:asciiTheme="minorHAnsi" w:hAnsiTheme="minorHAnsi" w:cstheme="minorHAnsi"/>
          <w:b/>
          <w:bCs/>
        </w:rPr>
        <w:t>, Natalia Chueca</w:t>
      </w:r>
      <w:r w:rsidRPr="005519EC">
        <w:rPr>
          <w:rFonts w:asciiTheme="minorHAnsi" w:hAnsiTheme="minorHAnsi" w:cstheme="minorHAnsi"/>
          <w:b/>
          <w:bCs/>
          <w:vertAlign w:val="superscript"/>
        </w:rPr>
        <w:t>1</w:t>
      </w:r>
      <w:r w:rsidRPr="005519EC">
        <w:rPr>
          <w:rFonts w:asciiTheme="minorHAnsi" w:hAnsiTheme="minorHAnsi" w:cstheme="minorHAnsi"/>
          <w:b/>
          <w:bCs/>
        </w:rPr>
        <w:t>, Sonia</w:t>
      </w:r>
      <w:r w:rsidRPr="005519EC">
        <w:rPr>
          <w:rFonts w:asciiTheme="minorHAnsi" w:hAnsiTheme="minorHAnsi" w:cstheme="minorHAnsi"/>
          <w:b/>
          <w:bCs/>
          <w:color w:val="000000"/>
        </w:rPr>
        <w:t xml:space="preserve"> Pérez Castro</w:t>
      </w:r>
      <w:r w:rsidRPr="005519EC">
        <w:rPr>
          <w:rFonts w:asciiTheme="minorHAnsi" w:hAnsiTheme="minorHAnsi" w:cstheme="minorHAnsi"/>
          <w:b/>
          <w:bCs/>
          <w:color w:val="000000"/>
          <w:vertAlign w:val="superscript"/>
        </w:rPr>
        <w:t>3</w:t>
      </w:r>
      <w:r w:rsidRPr="005519EC">
        <w:rPr>
          <w:rFonts w:asciiTheme="minorHAnsi" w:hAnsiTheme="minorHAnsi" w:cstheme="minorHAnsi"/>
          <w:b/>
          <w:bCs/>
          <w:color w:val="000000"/>
        </w:rPr>
        <w:t>, Benito Regueiro</w:t>
      </w:r>
      <w:r w:rsidRPr="005519EC">
        <w:rPr>
          <w:rFonts w:asciiTheme="minorHAnsi" w:hAnsiTheme="minorHAnsi" w:cstheme="minorHAnsi"/>
          <w:b/>
          <w:bCs/>
          <w:color w:val="000000"/>
          <w:vertAlign w:val="superscript"/>
        </w:rPr>
        <w:t>3</w:t>
      </w:r>
      <w:r w:rsidRPr="005519EC">
        <w:rPr>
          <w:rFonts w:asciiTheme="minorHAnsi" w:hAnsiTheme="minorHAnsi" w:cstheme="minorHAnsi"/>
          <w:b/>
          <w:bCs/>
          <w:color w:val="000000"/>
        </w:rPr>
        <w:t>, Almudena Rojas</w:t>
      </w:r>
      <w:r w:rsidRPr="005519EC">
        <w:rPr>
          <w:rFonts w:asciiTheme="minorHAnsi" w:hAnsiTheme="minorHAnsi" w:cstheme="minorHAnsi"/>
          <w:b/>
          <w:bCs/>
          <w:color w:val="000000"/>
          <w:vertAlign w:val="superscript"/>
        </w:rPr>
        <w:t>2</w:t>
      </w:r>
      <w:r w:rsidRPr="005519EC">
        <w:rPr>
          <w:rFonts w:asciiTheme="minorHAnsi" w:hAnsiTheme="minorHAnsi" w:cstheme="minorHAnsi"/>
          <w:b/>
          <w:bCs/>
          <w:color w:val="000000"/>
        </w:rPr>
        <w:t>, Joaquín Mendoza</w:t>
      </w:r>
      <w:r w:rsidRPr="005519EC">
        <w:rPr>
          <w:rFonts w:asciiTheme="minorHAnsi" w:hAnsiTheme="minorHAnsi" w:cstheme="minorHAnsi"/>
          <w:b/>
          <w:bCs/>
          <w:color w:val="000000"/>
          <w:vertAlign w:val="superscript"/>
        </w:rPr>
        <w:t>2</w:t>
      </w:r>
      <w:r w:rsidRPr="005519EC">
        <w:rPr>
          <w:rFonts w:asciiTheme="minorHAnsi" w:hAnsiTheme="minorHAnsi" w:cstheme="minorHAnsi"/>
          <w:b/>
          <w:bCs/>
          <w:color w:val="000000"/>
        </w:rPr>
        <w:t xml:space="preserve">, </w:t>
      </w:r>
      <w:proofErr w:type="spellStart"/>
      <w:r w:rsidRPr="005519EC">
        <w:rPr>
          <w:rFonts w:asciiTheme="minorHAnsi" w:hAnsiTheme="minorHAnsi" w:cstheme="minorHAnsi"/>
          <w:b/>
          <w:bCs/>
          <w:color w:val="000000"/>
        </w:rPr>
        <w:t>Jose</w:t>
      </w:r>
      <w:proofErr w:type="spellEnd"/>
      <w:r w:rsidRPr="005519EC">
        <w:rPr>
          <w:rFonts w:asciiTheme="minorHAnsi" w:hAnsiTheme="minorHAnsi" w:cstheme="minorHAnsi"/>
          <w:b/>
          <w:bCs/>
          <w:color w:val="000000"/>
        </w:rPr>
        <w:t xml:space="preserve"> Rojas</w:t>
      </w:r>
      <w:r w:rsidRPr="005519EC">
        <w:rPr>
          <w:rFonts w:asciiTheme="minorHAnsi" w:hAnsiTheme="minorHAnsi" w:cstheme="minorHAnsi"/>
          <w:b/>
          <w:bCs/>
          <w:color w:val="000000"/>
          <w:vertAlign w:val="superscript"/>
        </w:rPr>
        <w:t>2</w:t>
      </w:r>
      <w:r w:rsidRPr="005519EC">
        <w:rPr>
          <w:rFonts w:asciiTheme="minorHAnsi" w:hAnsiTheme="minorHAnsi" w:cstheme="minorHAnsi"/>
          <w:b/>
          <w:bCs/>
          <w:color w:val="000000"/>
        </w:rPr>
        <w:t xml:space="preserve">, </w:t>
      </w:r>
      <w:r w:rsidRPr="005519EC">
        <w:rPr>
          <w:rFonts w:asciiTheme="minorHAnsi" w:hAnsiTheme="minorHAnsi" w:cstheme="minorHAnsi"/>
          <w:b/>
          <w:bCs/>
        </w:rPr>
        <w:t>Federico García</w:t>
      </w:r>
      <w:r w:rsidRPr="005519EC">
        <w:rPr>
          <w:rFonts w:asciiTheme="minorHAnsi" w:hAnsiTheme="minorHAnsi" w:cstheme="minorHAnsi"/>
          <w:b/>
          <w:bCs/>
          <w:vertAlign w:val="superscript"/>
        </w:rPr>
        <w:t>1,4</w:t>
      </w:r>
    </w:p>
    <w:p w14:paraId="0D496C52" w14:textId="77777777" w:rsidR="00202107" w:rsidRPr="005519EC" w:rsidRDefault="00202107" w:rsidP="00202107">
      <w:pPr>
        <w:jc w:val="both"/>
        <w:rPr>
          <w:rFonts w:asciiTheme="minorHAnsi" w:hAnsiTheme="minorHAnsi" w:cstheme="minorHAnsi"/>
          <w:b/>
          <w:bCs/>
          <w:color w:val="000000"/>
        </w:rPr>
      </w:pPr>
    </w:p>
    <w:p w14:paraId="54CD2CAD" w14:textId="77777777" w:rsidR="00202107" w:rsidRPr="005519EC" w:rsidRDefault="00202107" w:rsidP="00202107">
      <w:pPr>
        <w:jc w:val="both"/>
        <w:textAlignment w:val="baseline"/>
        <w:rPr>
          <w:rFonts w:asciiTheme="minorHAnsi" w:hAnsiTheme="minorHAnsi" w:cstheme="minorHAnsi"/>
          <w:color w:val="000000" w:themeColor="text1"/>
        </w:rPr>
      </w:pPr>
      <w:r w:rsidRPr="005519EC">
        <w:rPr>
          <w:rFonts w:asciiTheme="minorHAnsi" w:hAnsiTheme="minorHAnsi" w:cstheme="minorHAnsi"/>
          <w:color w:val="000000" w:themeColor="text1"/>
          <w:vertAlign w:val="superscript"/>
        </w:rPr>
        <w:t>1</w:t>
      </w:r>
      <w:r w:rsidRPr="005519EC">
        <w:rPr>
          <w:rFonts w:asciiTheme="minorHAnsi" w:hAnsiTheme="minorHAnsi" w:cstheme="minorHAnsi"/>
          <w:color w:val="000000" w:themeColor="text1"/>
        </w:rPr>
        <w:t xml:space="preserve">Servicio de Microbiología; Hospital Universitario Clínico San Cecilio, </w:t>
      </w:r>
      <w:proofErr w:type="spellStart"/>
      <w:r w:rsidRPr="005519EC">
        <w:rPr>
          <w:rFonts w:asciiTheme="minorHAnsi" w:hAnsiTheme="minorHAnsi" w:cstheme="minorHAnsi"/>
          <w:color w:val="000000" w:themeColor="text1"/>
        </w:rPr>
        <w:t>Av</w:t>
      </w:r>
      <w:proofErr w:type="spellEnd"/>
      <w:r w:rsidRPr="005519EC">
        <w:rPr>
          <w:rFonts w:asciiTheme="minorHAnsi" w:hAnsiTheme="minorHAnsi" w:cstheme="minorHAnsi"/>
          <w:color w:val="000000" w:themeColor="text1"/>
        </w:rPr>
        <w:t xml:space="preserve"> Innovación S/N, 18016, Granada, </w:t>
      </w:r>
      <w:proofErr w:type="spellStart"/>
      <w:r w:rsidRPr="005519EC">
        <w:rPr>
          <w:rFonts w:asciiTheme="minorHAnsi" w:hAnsiTheme="minorHAnsi" w:cstheme="minorHAnsi"/>
          <w:color w:val="000000" w:themeColor="text1"/>
        </w:rPr>
        <w:t>Spain</w:t>
      </w:r>
      <w:proofErr w:type="spellEnd"/>
    </w:p>
    <w:p w14:paraId="5E37CD1A" w14:textId="77777777" w:rsidR="00202107" w:rsidRPr="005519EC" w:rsidRDefault="00202107" w:rsidP="00202107">
      <w:pPr>
        <w:jc w:val="both"/>
        <w:rPr>
          <w:rFonts w:asciiTheme="minorHAnsi" w:hAnsiTheme="minorHAnsi" w:cstheme="minorHAnsi"/>
          <w:color w:val="000000"/>
        </w:rPr>
      </w:pPr>
      <w:r w:rsidRPr="005519EC">
        <w:rPr>
          <w:rFonts w:asciiTheme="minorHAnsi" w:hAnsiTheme="minorHAnsi" w:cstheme="minorHAnsi"/>
          <w:color w:val="000000" w:themeColor="text1"/>
          <w:vertAlign w:val="superscript"/>
        </w:rPr>
        <w:t xml:space="preserve">2 </w:t>
      </w:r>
      <w:r w:rsidRPr="005519EC">
        <w:rPr>
          <w:rFonts w:asciiTheme="minorHAnsi" w:hAnsiTheme="minorHAnsi" w:cstheme="minorHAnsi"/>
          <w:color w:val="000000"/>
        </w:rPr>
        <w:t>VIRCELL, S.L. Parque Tecnológico de la Salud., Calle Avicena, 8, 18016 Granada.</w:t>
      </w:r>
    </w:p>
    <w:p w14:paraId="1DC439A3" w14:textId="77777777" w:rsidR="00202107" w:rsidRPr="005519EC" w:rsidRDefault="00202107" w:rsidP="00202107">
      <w:pPr>
        <w:jc w:val="both"/>
        <w:rPr>
          <w:rFonts w:asciiTheme="minorHAnsi" w:hAnsiTheme="minorHAnsi" w:cstheme="minorHAnsi"/>
          <w:color w:val="000000"/>
        </w:rPr>
      </w:pPr>
      <w:r w:rsidRPr="005519EC">
        <w:rPr>
          <w:rFonts w:asciiTheme="minorHAnsi" w:hAnsiTheme="minorHAnsi" w:cstheme="minorHAnsi"/>
          <w:color w:val="000000" w:themeColor="text1"/>
          <w:vertAlign w:val="superscript"/>
        </w:rPr>
        <w:t>3</w:t>
      </w:r>
      <w:r w:rsidRPr="005519EC">
        <w:rPr>
          <w:rFonts w:asciiTheme="minorHAnsi" w:hAnsiTheme="minorHAnsi" w:cstheme="minorHAnsi"/>
          <w:color w:val="000000" w:themeColor="text1"/>
        </w:rPr>
        <w:t xml:space="preserve">Servicio de Microbiología, </w:t>
      </w:r>
      <w:r w:rsidRPr="005519EC">
        <w:rPr>
          <w:rFonts w:asciiTheme="minorHAnsi" w:hAnsiTheme="minorHAnsi" w:cstheme="minorHAnsi"/>
          <w:color w:val="000000"/>
        </w:rPr>
        <w:t xml:space="preserve">Hospital Álvaro </w:t>
      </w:r>
      <w:proofErr w:type="spellStart"/>
      <w:r w:rsidRPr="005519EC">
        <w:rPr>
          <w:rFonts w:asciiTheme="minorHAnsi" w:hAnsiTheme="minorHAnsi" w:cstheme="minorHAnsi"/>
          <w:color w:val="000000"/>
        </w:rPr>
        <w:t>Cunqueiro</w:t>
      </w:r>
      <w:proofErr w:type="spellEnd"/>
      <w:r w:rsidRPr="005519EC">
        <w:rPr>
          <w:rFonts w:asciiTheme="minorHAnsi" w:hAnsiTheme="minorHAnsi" w:cstheme="minorHAnsi"/>
          <w:color w:val="000000"/>
        </w:rPr>
        <w:t>, Estrada de Clara Campoamor, 341</w:t>
      </w:r>
      <w:r>
        <w:rPr>
          <w:rFonts w:asciiTheme="minorHAnsi" w:hAnsiTheme="minorHAnsi" w:cstheme="minorHAnsi"/>
          <w:color w:val="000000"/>
        </w:rPr>
        <w:t xml:space="preserve">, </w:t>
      </w:r>
      <w:r w:rsidRPr="005519EC">
        <w:rPr>
          <w:rFonts w:asciiTheme="minorHAnsi" w:hAnsiTheme="minorHAnsi" w:cstheme="minorHAnsi"/>
          <w:color w:val="000000"/>
        </w:rPr>
        <w:t>Vigo, Pontevedra (36312), ESPAÑA</w:t>
      </w:r>
    </w:p>
    <w:p w14:paraId="0BE3D7DE" w14:textId="77777777" w:rsidR="00202107" w:rsidRDefault="00202107" w:rsidP="00202107">
      <w:pPr>
        <w:jc w:val="both"/>
        <w:textAlignment w:val="baseline"/>
        <w:rPr>
          <w:rFonts w:asciiTheme="minorHAnsi" w:hAnsiTheme="minorHAnsi" w:cstheme="minorHAnsi"/>
          <w:color w:val="000000" w:themeColor="text1"/>
        </w:rPr>
      </w:pPr>
      <w:r w:rsidRPr="005519EC">
        <w:rPr>
          <w:rFonts w:asciiTheme="minorHAnsi" w:hAnsiTheme="minorHAnsi" w:cstheme="minorHAnsi"/>
          <w:color w:val="000000" w:themeColor="text1"/>
          <w:vertAlign w:val="superscript"/>
        </w:rPr>
        <w:t>4</w:t>
      </w:r>
      <w:r w:rsidRPr="005519EC">
        <w:rPr>
          <w:rFonts w:asciiTheme="minorHAnsi" w:hAnsiTheme="minorHAnsi" w:cstheme="minorHAnsi"/>
          <w:color w:val="000000" w:themeColor="text1"/>
        </w:rPr>
        <w:t xml:space="preserve">Instituto de Investigación </w:t>
      </w:r>
      <w:proofErr w:type="spellStart"/>
      <w:r w:rsidRPr="005519EC">
        <w:rPr>
          <w:rFonts w:asciiTheme="minorHAnsi" w:hAnsiTheme="minorHAnsi" w:cstheme="minorHAnsi"/>
          <w:color w:val="000000" w:themeColor="text1"/>
        </w:rPr>
        <w:t>Ibs.Granada</w:t>
      </w:r>
      <w:proofErr w:type="spellEnd"/>
      <w:r w:rsidRPr="005519EC">
        <w:rPr>
          <w:rFonts w:asciiTheme="minorHAnsi" w:hAnsiTheme="minorHAnsi" w:cstheme="minorHAnsi"/>
          <w:color w:val="000000" w:themeColor="text1"/>
        </w:rPr>
        <w:t xml:space="preserve">, </w:t>
      </w:r>
      <w:proofErr w:type="spellStart"/>
      <w:r w:rsidRPr="005519EC">
        <w:rPr>
          <w:rFonts w:asciiTheme="minorHAnsi" w:hAnsiTheme="minorHAnsi" w:cstheme="minorHAnsi"/>
          <w:color w:val="000000" w:themeColor="text1"/>
        </w:rPr>
        <w:t>Spain</w:t>
      </w:r>
      <w:proofErr w:type="spellEnd"/>
    </w:p>
    <w:p w14:paraId="3EDD1539" w14:textId="77777777" w:rsidR="00202107" w:rsidRPr="005519EC" w:rsidRDefault="00202107" w:rsidP="00202107">
      <w:pPr>
        <w:jc w:val="both"/>
        <w:textAlignment w:val="baseline"/>
        <w:rPr>
          <w:rFonts w:asciiTheme="minorHAnsi" w:hAnsiTheme="minorHAnsi" w:cstheme="minorHAnsi"/>
          <w:color w:val="000000" w:themeColor="text1"/>
          <w:lang w:val="en-US"/>
        </w:rPr>
      </w:pPr>
      <w:r w:rsidRPr="005519EC">
        <w:rPr>
          <w:rFonts w:asciiTheme="minorHAnsi" w:hAnsiTheme="minorHAnsi" w:cstheme="minorHAnsi"/>
          <w:color w:val="000000" w:themeColor="text1"/>
          <w:vertAlign w:val="superscript"/>
          <w:lang w:val="en-US"/>
        </w:rPr>
        <w:t>+</w:t>
      </w:r>
      <w:r w:rsidRPr="005519EC">
        <w:rPr>
          <w:rFonts w:asciiTheme="minorHAnsi" w:hAnsiTheme="minorHAnsi" w:cstheme="minorHAnsi"/>
          <w:color w:val="000000" w:themeColor="text1"/>
          <w:lang w:val="en-US"/>
        </w:rPr>
        <w:t>Contributed equally to the paper</w:t>
      </w:r>
    </w:p>
    <w:p w14:paraId="428400AD" w14:textId="77777777" w:rsidR="00202107" w:rsidRPr="005519EC" w:rsidRDefault="00202107" w:rsidP="00202107">
      <w:pPr>
        <w:jc w:val="both"/>
        <w:rPr>
          <w:rFonts w:asciiTheme="minorHAnsi" w:hAnsiTheme="minorHAnsi" w:cstheme="minorHAnsi"/>
          <w:b/>
          <w:bCs/>
          <w:color w:val="000000" w:themeColor="text1"/>
          <w:lang w:val="en-US"/>
        </w:rPr>
      </w:pPr>
    </w:p>
    <w:p w14:paraId="5D1AC5F0" w14:textId="77777777" w:rsidR="00202107" w:rsidRPr="005519EC" w:rsidRDefault="00202107" w:rsidP="00202107">
      <w:pPr>
        <w:jc w:val="both"/>
        <w:rPr>
          <w:rFonts w:asciiTheme="minorHAnsi" w:hAnsiTheme="minorHAnsi" w:cstheme="minorHAnsi"/>
          <w:b/>
          <w:bCs/>
          <w:color w:val="000000" w:themeColor="text1"/>
          <w:lang w:val="en-US"/>
        </w:rPr>
      </w:pPr>
      <w:r w:rsidRPr="005519EC">
        <w:rPr>
          <w:rFonts w:asciiTheme="minorHAnsi" w:hAnsiTheme="minorHAnsi" w:cstheme="minorHAnsi"/>
          <w:b/>
          <w:bCs/>
          <w:color w:val="000000" w:themeColor="text1"/>
          <w:lang w:val="en-US"/>
        </w:rPr>
        <w:t>Corresponding author:</w:t>
      </w:r>
    </w:p>
    <w:p w14:paraId="672860E7" w14:textId="77777777" w:rsidR="00202107" w:rsidRPr="005519EC" w:rsidRDefault="00202107" w:rsidP="00202107">
      <w:pPr>
        <w:jc w:val="both"/>
        <w:rPr>
          <w:rFonts w:asciiTheme="minorHAnsi" w:hAnsiTheme="minorHAnsi" w:cstheme="minorHAnsi"/>
          <w:color w:val="000000" w:themeColor="text1"/>
        </w:rPr>
      </w:pPr>
      <w:r w:rsidRPr="005519EC">
        <w:rPr>
          <w:rFonts w:asciiTheme="minorHAnsi" w:hAnsiTheme="minorHAnsi" w:cstheme="minorHAnsi"/>
          <w:color w:val="000000" w:themeColor="text1"/>
        </w:rPr>
        <w:t xml:space="preserve">Federico García, Hospital Universitario Clínico San Cecilio, Granada, </w:t>
      </w:r>
      <w:proofErr w:type="spellStart"/>
      <w:r w:rsidRPr="005519EC">
        <w:rPr>
          <w:rFonts w:asciiTheme="minorHAnsi" w:hAnsiTheme="minorHAnsi" w:cstheme="minorHAnsi"/>
          <w:color w:val="000000" w:themeColor="text1"/>
        </w:rPr>
        <w:t>Spain</w:t>
      </w:r>
      <w:proofErr w:type="spellEnd"/>
      <w:r w:rsidRPr="005519EC">
        <w:rPr>
          <w:rFonts w:asciiTheme="minorHAnsi" w:hAnsiTheme="minorHAnsi" w:cstheme="minorHAnsi"/>
          <w:color w:val="000000" w:themeColor="text1"/>
        </w:rPr>
        <w:t>; fegarcia@ugr.es</w:t>
      </w:r>
    </w:p>
    <w:p w14:paraId="131A5A28" w14:textId="2ABB0033" w:rsidR="00202107" w:rsidRDefault="00202107" w:rsidP="00202107">
      <w:pPr>
        <w:jc w:val="both"/>
        <w:rPr>
          <w:rFonts w:asciiTheme="minorHAnsi" w:hAnsiTheme="minorHAnsi" w:cstheme="minorHAnsi"/>
          <w:lang w:val="en-US"/>
        </w:rPr>
      </w:pPr>
      <w:r w:rsidRPr="005519EC">
        <w:rPr>
          <w:rFonts w:asciiTheme="minorHAnsi" w:hAnsiTheme="minorHAnsi" w:cstheme="minorHAnsi"/>
          <w:b/>
          <w:bCs/>
          <w:lang w:val="en-US"/>
        </w:rPr>
        <w:t>Key words</w:t>
      </w:r>
      <w:r w:rsidRPr="005519EC">
        <w:rPr>
          <w:rFonts w:asciiTheme="minorHAnsi" w:hAnsiTheme="minorHAnsi" w:cstheme="minorHAnsi"/>
          <w:lang w:val="en-US"/>
        </w:rPr>
        <w:t>: SARS-CoV</w:t>
      </w:r>
      <w:r>
        <w:rPr>
          <w:rFonts w:asciiTheme="minorHAnsi" w:hAnsiTheme="minorHAnsi" w:cstheme="minorHAnsi"/>
          <w:lang w:val="en-US"/>
        </w:rPr>
        <w:t>-</w:t>
      </w:r>
      <w:r w:rsidRPr="005519EC">
        <w:rPr>
          <w:rFonts w:asciiTheme="minorHAnsi" w:hAnsiTheme="minorHAnsi" w:cstheme="minorHAnsi"/>
          <w:lang w:val="en-US"/>
        </w:rPr>
        <w:t xml:space="preserve">2, neutralization, B.1, B.1.1.7, B.1.351, variants, BNT162b2 mRNA. </w:t>
      </w:r>
    </w:p>
    <w:p w14:paraId="5671D152" w14:textId="21814E43" w:rsidR="00202107" w:rsidRDefault="00202107">
      <w:pPr>
        <w:rPr>
          <w:rFonts w:asciiTheme="minorHAnsi" w:hAnsiTheme="minorHAnsi" w:cstheme="minorHAnsi"/>
          <w:lang w:val="en-US"/>
        </w:rPr>
      </w:pPr>
      <w:r>
        <w:rPr>
          <w:rFonts w:asciiTheme="minorHAnsi" w:hAnsiTheme="minorHAnsi" w:cstheme="minorHAnsi"/>
          <w:lang w:val="en-US"/>
        </w:rPr>
        <w:br w:type="page"/>
      </w:r>
    </w:p>
    <w:p w14:paraId="409B5A5C" w14:textId="77777777" w:rsidR="00202107" w:rsidRPr="00465F74" w:rsidRDefault="00202107" w:rsidP="00202107">
      <w:pPr>
        <w:spacing w:line="480" w:lineRule="auto"/>
        <w:jc w:val="both"/>
        <w:rPr>
          <w:rFonts w:asciiTheme="minorHAnsi" w:hAnsiTheme="minorHAnsi" w:cstheme="minorHAnsi"/>
          <w:b/>
          <w:bCs/>
          <w:lang w:val="en-US"/>
        </w:rPr>
      </w:pPr>
      <w:r>
        <w:rPr>
          <w:rFonts w:asciiTheme="minorHAnsi" w:hAnsiTheme="minorHAnsi" w:cstheme="minorHAnsi"/>
          <w:b/>
          <w:bCs/>
          <w:lang w:val="en-US"/>
        </w:rPr>
        <w:lastRenderedPageBreak/>
        <w:t xml:space="preserve">Abstract </w:t>
      </w:r>
    </w:p>
    <w:p w14:paraId="22E6612D" w14:textId="77777777" w:rsidR="00202107" w:rsidRPr="00465F74" w:rsidRDefault="00202107" w:rsidP="00202107">
      <w:pPr>
        <w:spacing w:line="480" w:lineRule="auto"/>
        <w:jc w:val="both"/>
        <w:textAlignment w:val="baseline"/>
        <w:rPr>
          <w:rFonts w:asciiTheme="minorHAnsi" w:hAnsiTheme="minorHAnsi" w:cstheme="minorHAnsi"/>
          <w:color w:val="000000" w:themeColor="text1"/>
          <w:lang w:val="en-US"/>
        </w:rPr>
      </w:pPr>
      <w:r w:rsidRPr="00465F74">
        <w:rPr>
          <w:rFonts w:asciiTheme="minorHAnsi" w:hAnsiTheme="minorHAnsi" w:cstheme="minorHAnsi"/>
          <w:b/>
          <w:bCs/>
          <w:color w:val="000000" w:themeColor="text1"/>
          <w:lang w:val="en-US"/>
        </w:rPr>
        <w:t>Background</w:t>
      </w:r>
      <w:r w:rsidRPr="00465F74">
        <w:rPr>
          <w:rFonts w:asciiTheme="minorHAnsi" w:hAnsiTheme="minorHAnsi" w:cstheme="minorHAnsi"/>
          <w:color w:val="000000" w:themeColor="text1"/>
          <w:lang w:val="en-US"/>
        </w:rPr>
        <w:t xml:space="preserve">: </w:t>
      </w:r>
      <w:r w:rsidRPr="006E48F2">
        <w:rPr>
          <w:rFonts w:asciiTheme="minorHAnsi" w:hAnsiTheme="minorHAnsi" w:cstheme="minorHAnsi"/>
          <w:color w:val="000000"/>
          <w:lang w:val="en-US"/>
        </w:rPr>
        <w:t>SARS</w:t>
      </w:r>
      <w:r>
        <w:rPr>
          <w:rFonts w:asciiTheme="minorHAnsi" w:hAnsiTheme="minorHAnsi" w:cstheme="minorHAnsi"/>
          <w:color w:val="000000"/>
          <w:lang w:val="en-US"/>
        </w:rPr>
        <w:t>-</w:t>
      </w:r>
      <w:r w:rsidRPr="006E48F2">
        <w:rPr>
          <w:rFonts w:asciiTheme="minorHAnsi" w:hAnsiTheme="minorHAnsi" w:cstheme="minorHAnsi"/>
          <w:color w:val="000000"/>
          <w:lang w:val="en-US"/>
        </w:rPr>
        <w:t>CoV</w:t>
      </w:r>
      <w:r>
        <w:rPr>
          <w:rFonts w:asciiTheme="minorHAnsi" w:hAnsiTheme="minorHAnsi" w:cstheme="minorHAnsi"/>
          <w:color w:val="000000"/>
          <w:lang w:val="en-US"/>
        </w:rPr>
        <w:t>-</w:t>
      </w:r>
      <w:r w:rsidRPr="006E48F2">
        <w:rPr>
          <w:rFonts w:asciiTheme="minorHAnsi" w:hAnsiTheme="minorHAnsi" w:cstheme="minorHAnsi"/>
          <w:color w:val="000000"/>
          <w:lang w:val="en-US"/>
        </w:rPr>
        <w:t>2 variation represents a serious challenge to current COVI</w:t>
      </w:r>
      <w:r w:rsidRPr="00312707">
        <w:rPr>
          <w:rFonts w:asciiTheme="minorHAnsi" w:hAnsiTheme="minorHAnsi" w:cstheme="minorHAnsi"/>
          <w:color w:val="000000"/>
          <w:lang w:val="en-US"/>
        </w:rPr>
        <w:t>D</w:t>
      </w:r>
      <w:r>
        <w:rPr>
          <w:rFonts w:asciiTheme="minorHAnsi" w:hAnsiTheme="minorHAnsi" w:cstheme="minorHAnsi"/>
          <w:color w:val="000000"/>
          <w:lang w:val="en-US"/>
        </w:rPr>
        <w:t>-</w:t>
      </w:r>
      <w:r w:rsidRPr="00312707">
        <w:rPr>
          <w:rFonts w:asciiTheme="minorHAnsi" w:hAnsiTheme="minorHAnsi" w:cstheme="minorHAnsi"/>
          <w:color w:val="000000"/>
          <w:lang w:val="en-US"/>
        </w:rPr>
        <w:t>1</w:t>
      </w:r>
      <w:r w:rsidRPr="006E48F2">
        <w:rPr>
          <w:rFonts w:asciiTheme="minorHAnsi" w:hAnsiTheme="minorHAnsi" w:cstheme="minorHAnsi"/>
          <w:color w:val="000000"/>
          <w:lang w:val="en-US"/>
        </w:rPr>
        <w:t xml:space="preserve">9 vaccines. Recent reports suggest that B.1.351 and </w:t>
      </w:r>
      <w:r>
        <w:rPr>
          <w:rFonts w:asciiTheme="minorHAnsi" w:hAnsiTheme="minorHAnsi" w:cstheme="minorHAnsi"/>
          <w:color w:val="000000"/>
          <w:lang w:val="en-US"/>
        </w:rPr>
        <w:t>other</w:t>
      </w:r>
      <w:r w:rsidRPr="006E48F2">
        <w:rPr>
          <w:rFonts w:asciiTheme="minorHAnsi" w:hAnsiTheme="minorHAnsi" w:cstheme="minorHAnsi"/>
          <w:color w:val="000000"/>
          <w:lang w:val="en-US"/>
        </w:rPr>
        <w:t xml:space="preserve"> variants may escape the neutralization activity of the antibodies generated by </w:t>
      </w:r>
      <w:r>
        <w:rPr>
          <w:rFonts w:asciiTheme="minorHAnsi" w:hAnsiTheme="minorHAnsi" w:cstheme="minorHAnsi"/>
          <w:lang w:val="en-US"/>
        </w:rPr>
        <w:t xml:space="preserve">current </w:t>
      </w:r>
      <w:r w:rsidRPr="006E48F2">
        <w:rPr>
          <w:rFonts w:asciiTheme="minorHAnsi" w:hAnsiTheme="minorHAnsi" w:cstheme="minorHAnsi"/>
          <w:lang w:val="en-US"/>
        </w:rPr>
        <w:t>vaccine</w:t>
      </w:r>
      <w:r>
        <w:rPr>
          <w:rFonts w:asciiTheme="minorHAnsi" w:hAnsiTheme="minorHAnsi" w:cstheme="minorHAnsi"/>
          <w:lang w:val="en-US"/>
        </w:rPr>
        <w:t>s</w:t>
      </w:r>
      <w:r w:rsidRPr="006E48F2">
        <w:rPr>
          <w:rFonts w:asciiTheme="minorHAnsi" w:hAnsiTheme="minorHAnsi" w:cstheme="minorHAnsi"/>
          <w:lang w:val="en-US"/>
        </w:rPr>
        <w:t>.</w:t>
      </w:r>
    </w:p>
    <w:p w14:paraId="7B2AC872" w14:textId="77777777" w:rsidR="00202107" w:rsidRPr="00465F74" w:rsidRDefault="00202107" w:rsidP="00202107">
      <w:pPr>
        <w:spacing w:line="480" w:lineRule="auto"/>
        <w:jc w:val="both"/>
        <w:textAlignment w:val="baseline"/>
        <w:rPr>
          <w:rFonts w:asciiTheme="minorHAnsi" w:hAnsiTheme="minorHAnsi" w:cstheme="minorHAnsi"/>
          <w:color w:val="000000" w:themeColor="text1"/>
          <w:lang w:val="en-US"/>
        </w:rPr>
      </w:pPr>
      <w:r w:rsidRPr="00465F74">
        <w:rPr>
          <w:rFonts w:asciiTheme="minorHAnsi" w:hAnsiTheme="minorHAnsi" w:cstheme="minorHAnsi"/>
          <w:b/>
          <w:bCs/>
          <w:color w:val="000000" w:themeColor="text1"/>
          <w:lang w:val="en-US"/>
        </w:rPr>
        <w:t>Methods</w:t>
      </w:r>
      <w:r w:rsidRPr="00465F74">
        <w:rPr>
          <w:rFonts w:asciiTheme="minorHAnsi" w:hAnsiTheme="minorHAnsi" w:cstheme="minorHAnsi"/>
          <w:color w:val="000000" w:themeColor="text1"/>
          <w:lang w:val="en-US"/>
        </w:rPr>
        <w:t xml:space="preserve">: </w:t>
      </w:r>
      <w:r>
        <w:rPr>
          <w:rFonts w:asciiTheme="minorHAnsi" w:hAnsiTheme="minorHAnsi" w:cstheme="minorHAnsi"/>
          <w:color w:val="000000"/>
          <w:lang w:val="en-US"/>
        </w:rPr>
        <w:t>Ninety-nine</w:t>
      </w:r>
      <w:r w:rsidRPr="006E48F2">
        <w:rPr>
          <w:rFonts w:asciiTheme="minorHAnsi" w:hAnsiTheme="minorHAnsi" w:cstheme="minorHAnsi"/>
          <w:color w:val="000000" w:themeColor="text1"/>
          <w:lang w:val="en-US"/>
        </w:rPr>
        <w:t xml:space="preserve"> </w:t>
      </w:r>
      <w:r>
        <w:rPr>
          <w:rFonts w:asciiTheme="minorHAnsi" w:hAnsiTheme="minorHAnsi" w:cstheme="minorHAnsi"/>
          <w:color w:val="000000"/>
          <w:lang w:val="en-US"/>
        </w:rPr>
        <w:t>healthcare workers</w:t>
      </w:r>
      <w:r w:rsidRPr="006E48F2">
        <w:rPr>
          <w:rFonts w:asciiTheme="minorHAnsi" w:hAnsiTheme="minorHAnsi" w:cstheme="minorHAnsi"/>
          <w:color w:val="000000"/>
          <w:lang w:val="en-US"/>
        </w:rPr>
        <w:t xml:space="preserve"> under</w:t>
      </w:r>
      <w:r>
        <w:rPr>
          <w:rFonts w:asciiTheme="minorHAnsi" w:hAnsiTheme="minorHAnsi" w:cstheme="minorHAnsi"/>
          <w:color w:val="000000"/>
          <w:lang w:val="en-US"/>
        </w:rPr>
        <w:t xml:space="preserve">taking </w:t>
      </w:r>
      <w:r w:rsidRPr="006E48F2">
        <w:rPr>
          <w:rFonts w:asciiTheme="minorHAnsi" w:hAnsiTheme="minorHAnsi" w:cstheme="minorHAnsi"/>
          <w:lang w:val="en-US"/>
        </w:rPr>
        <w:t>BNT162b2 mRNA vaccin</w:t>
      </w:r>
      <w:r w:rsidRPr="00312707">
        <w:rPr>
          <w:rFonts w:asciiTheme="minorHAnsi" w:hAnsiTheme="minorHAnsi" w:cstheme="minorHAnsi"/>
          <w:lang w:val="en-US"/>
        </w:rPr>
        <w:t>ation</w:t>
      </w:r>
      <w:r w:rsidRPr="006E48F2">
        <w:rPr>
          <w:rFonts w:asciiTheme="minorHAnsi" w:hAnsiTheme="minorHAnsi" w:cstheme="minorHAnsi"/>
          <w:lang w:val="en-US"/>
        </w:rPr>
        <w:t xml:space="preserve"> were sampled at baseline, on the day </w:t>
      </w:r>
      <w:r>
        <w:rPr>
          <w:rFonts w:asciiTheme="minorHAnsi" w:hAnsiTheme="minorHAnsi" w:cstheme="minorHAnsi"/>
          <w:lang w:val="en-US"/>
        </w:rPr>
        <w:t>of</w:t>
      </w:r>
      <w:r w:rsidRPr="006E48F2">
        <w:rPr>
          <w:rFonts w:asciiTheme="minorHAnsi" w:hAnsiTheme="minorHAnsi" w:cstheme="minorHAnsi"/>
          <w:lang w:val="en-US"/>
        </w:rPr>
        <w:t xml:space="preserve"> the second dose, and 14 days after</w:t>
      </w:r>
      <w:r>
        <w:rPr>
          <w:rFonts w:asciiTheme="minorHAnsi" w:hAnsiTheme="minorHAnsi" w:cstheme="minorHAnsi"/>
          <w:lang w:val="en-US"/>
        </w:rPr>
        <w:t xml:space="preserve"> the latter. Neutralization activity against SARS-CoV-2 B.1, B.1.1.7 and B.1.351 was investigated using a Vero-E6 model.</w:t>
      </w:r>
    </w:p>
    <w:p w14:paraId="3358BA19" w14:textId="77777777" w:rsidR="00202107" w:rsidRPr="006E48F2" w:rsidRDefault="00202107" w:rsidP="00202107">
      <w:pPr>
        <w:spacing w:line="480" w:lineRule="auto"/>
        <w:jc w:val="both"/>
        <w:rPr>
          <w:rFonts w:asciiTheme="minorHAnsi" w:hAnsiTheme="minorHAnsi" w:cstheme="minorHAnsi"/>
          <w:lang w:val="en-US"/>
        </w:rPr>
      </w:pPr>
      <w:r w:rsidRPr="00465F74">
        <w:rPr>
          <w:rFonts w:asciiTheme="minorHAnsi" w:hAnsiTheme="minorHAnsi" w:cstheme="minorHAnsi"/>
          <w:b/>
          <w:bCs/>
          <w:color w:val="000000" w:themeColor="text1"/>
          <w:lang w:val="en-US"/>
        </w:rPr>
        <w:t>Results</w:t>
      </w:r>
      <w:r w:rsidRPr="00465F74">
        <w:rPr>
          <w:rFonts w:asciiTheme="minorHAnsi" w:hAnsiTheme="minorHAnsi" w:cstheme="minorHAnsi"/>
          <w:color w:val="000000" w:themeColor="text1"/>
          <w:lang w:val="en-US"/>
        </w:rPr>
        <w:t xml:space="preserve">: </w:t>
      </w:r>
      <w:r>
        <w:rPr>
          <w:rFonts w:asciiTheme="minorHAnsi" w:hAnsiTheme="minorHAnsi" w:cstheme="minorHAnsi"/>
          <w:lang w:val="en-US"/>
        </w:rPr>
        <w:t xml:space="preserve">Eleven of the study participants had prior infection with SARS-CoV-2. </w:t>
      </w:r>
      <w:r w:rsidRPr="006E48F2">
        <w:rPr>
          <w:rFonts w:asciiTheme="minorHAnsi" w:hAnsiTheme="minorHAnsi" w:cstheme="minorHAnsi"/>
          <w:lang w:val="en-US"/>
        </w:rPr>
        <w:t>N</w:t>
      </w:r>
      <w:r>
        <w:rPr>
          <w:rFonts w:asciiTheme="minorHAnsi" w:hAnsiTheme="minorHAnsi" w:cstheme="minorHAnsi"/>
          <w:lang w:val="en-US"/>
        </w:rPr>
        <w:t xml:space="preserve">eutralization </w:t>
      </w:r>
      <w:r w:rsidRPr="006E48F2">
        <w:rPr>
          <w:rFonts w:asciiTheme="minorHAnsi" w:hAnsiTheme="minorHAnsi" w:cstheme="minorHAnsi"/>
          <w:lang w:val="en-US"/>
        </w:rPr>
        <w:t>titers against the B.1 and the B.1.1.7 variant</w:t>
      </w:r>
      <w:r>
        <w:rPr>
          <w:rFonts w:asciiTheme="minorHAnsi" w:hAnsiTheme="minorHAnsi" w:cstheme="minorHAnsi"/>
          <w:lang w:val="en-US"/>
        </w:rPr>
        <w:t>s</w:t>
      </w:r>
      <w:r w:rsidRPr="006E48F2">
        <w:rPr>
          <w:rFonts w:asciiTheme="minorHAnsi" w:hAnsiTheme="minorHAnsi" w:cstheme="minorHAnsi"/>
          <w:lang w:val="en-US"/>
        </w:rPr>
        <w:t xml:space="preserve"> </w:t>
      </w:r>
      <w:r>
        <w:rPr>
          <w:rFonts w:asciiTheme="minorHAnsi" w:hAnsiTheme="minorHAnsi" w:cstheme="minorHAnsi"/>
          <w:lang w:val="en-US"/>
        </w:rPr>
        <w:t>were not</w:t>
      </w:r>
      <w:r w:rsidRPr="006E48F2">
        <w:rPr>
          <w:rFonts w:asciiTheme="minorHAnsi" w:hAnsiTheme="minorHAnsi" w:cstheme="minorHAnsi"/>
          <w:lang w:val="en-US"/>
        </w:rPr>
        <w:t xml:space="preserve"> statistically differen</w:t>
      </w:r>
      <w:r>
        <w:rPr>
          <w:rFonts w:asciiTheme="minorHAnsi" w:hAnsiTheme="minorHAnsi" w:cstheme="minorHAnsi"/>
          <w:lang w:val="en-US"/>
        </w:rPr>
        <w:t>t</w:t>
      </w:r>
      <w:r w:rsidRPr="006E48F2">
        <w:rPr>
          <w:rFonts w:asciiTheme="minorHAnsi" w:hAnsiTheme="minorHAnsi" w:cstheme="minorHAnsi"/>
          <w:lang w:val="en-US"/>
        </w:rPr>
        <w:t xml:space="preserve"> </w:t>
      </w:r>
      <w:r>
        <w:rPr>
          <w:rFonts w:asciiTheme="minorHAnsi" w:hAnsiTheme="minorHAnsi" w:cstheme="minorHAnsi"/>
          <w:lang w:val="en-US"/>
        </w:rPr>
        <w:t>and</w:t>
      </w:r>
      <w:r w:rsidRPr="006E48F2">
        <w:rPr>
          <w:rFonts w:asciiTheme="minorHAnsi" w:hAnsiTheme="minorHAnsi" w:cstheme="minorHAnsi"/>
          <w:lang w:val="en-US"/>
        </w:rPr>
        <w:t xml:space="preserve"> were significantly higher than titers against the B.1.351 variant </w:t>
      </w:r>
      <w:r>
        <w:rPr>
          <w:rFonts w:asciiTheme="minorHAnsi" w:hAnsiTheme="minorHAnsi" w:cstheme="minorHAnsi"/>
          <w:lang w:val="en-US"/>
        </w:rPr>
        <w:t>across</w:t>
      </w:r>
      <w:r w:rsidRPr="006E48F2">
        <w:rPr>
          <w:rFonts w:asciiTheme="minorHAnsi" w:hAnsiTheme="minorHAnsi" w:cstheme="minorHAnsi"/>
          <w:lang w:val="en-US"/>
        </w:rPr>
        <w:t xml:space="preserve"> pre-exposed and non-pre-exposed vaccinated individuals</w:t>
      </w:r>
      <w:r>
        <w:rPr>
          <w:rFonts w:asciiTheme="minorHAnsi" w:hAnsiTheme="minorHAnsi" w:cstheme="minorHAnsi"/>
          <w:lang w:val="en-US"/>
        </w:rPr>
        <w:t xml:space="preserve"> (</w:t>
      </w:r>
      <w:r w:rsidRPr="006E48F2">
        <w:rPr>
          <w:rFonts w:asciiTheme="minorHAnsi" w:hAnsiTheme="minorHAnsi" w:cstheme="minorHAnsi"/>
          <w:i/>
          <w:lang w:val="en-US"/>
        </w:rPr>
        <w:t>p</w:t>
      </w:r>
      <w:r w:rsidRPr="006E48F2">
        <w:rPr>
          <w:rFonts w:asciiTheme="minorHAnsi" w:hAnsiTheme="minorHAnsi" w:cstheme="minorHAnsi"/>
          <w:lang w:val="en-US"/>
        </w:rPr>
        <w:t xml:space="preserve">&lt;0.01). While all vaccinated individuals presented neutralizing antibodies against B.1 </w:t>
      </w:r>
      <w:r>
        <w:rPr>
          <w:rFonts w:asciiTheme="minorHAnsi" w:hAnsiTheme="minorHAnsi" w:cstheme="minorHAnsi"/>
          <w:lang w:val="en-US"/>
        </w:rPr>
        <w:t xml:space="preserve">and B 1.1.7 </w:t>
      </w:r>
      <w:r w:rsidRPr="006E48F2">
        <w:rPr>
          <w:rFonts w:asciiTheme="minorHAnsi" w:hAnsiTheme="minorHAnsi" w:cstheme="minorHAnsi"/>
          <w:lang w:val="en-US"/>
        </w:rPr>
        <w:t xml:space="preserve">after the second dose, 14% were negative against B.1.351, and 76% had </w:t>
      </w:r>
      <w:r>
        <w:rPr>
          <w:rFonts w:asciiTheme="minorHAnsi" w:hAnsiTheme="minorHAnsi" w:cstheme="minorHAnsi"/>
          <w:lang w:val="en-US"/>
        </w:rPr>
        <w:t xml:space="preserve">low </w:t>
      </w:r>
      <w:r w:rsidRPr="006E48F2">
        <w:rPr>
          <w:rFonts w:asciiTheme="minorHAnsi" w:hAnsiTheme="minorHAnsi" w:cstheme="minorHAnsi"/>
          <w:lang w:val="en-US"/>
        </w:rPr>
        <w:t xml:space="preserve">titers </w:t>
      </w:r>
      <w:r>
        <w:rPr>
          <w:rFonts w:asciiTheme="minorHAnsi" w:hAnsiTheme="minorHAnsi" w:cstheme="minorHAnsi"/>
          <w:lang w:val="en-US"/>
        </w:rPr>
        <w:t>(</w:t>
      </w:r>
      <w:r w:rsidRPr="006E48F2">
        <w:rPr>
          <w:rFonts w:asciiTheme="minorHAnsi" w:hAnsiTheme="minorHAnsi" w:cstheme="minorHAnsi"/>
          <w:lang w:val="en-US"/>
        </w:rPr>
        <w:t>1/20-1/80</w:t>
      </w:r>
      <w:r>
        <w:rPr>
          <w:rFonts w:asciiTheme="minorHAnsi" w:hAnsiTheme="minorHAnsi" w:cstheme="minorHAnsi"/>
          <w:lang w:val="en-US"/>
        </w:rPr>
        <w:t>)</w:t>
      </w:r>
      <w:r w:rsidRPr="006E48F2">
        <w:rPr>
          <w:rFonts w:asciiTheme="minorHAnsi" w:hAnsiTheme="minorHAnsi" w:cstheme="minorHAnsi"/>
          <w:lang w:val="en-US"/>
        </w:rPr>
        <w:t xml:space="preserve">. </w:t>
      </w:r>
      <w:r>
        <w:rPr>
          <w:rFonts w:asciiTheme="minorHAnsi" w:hAnsiTheme="minorHAnsi" w:cstheme="minorHAnsi"/>
          <w:lang w:val="en-US"/>
        </w:rPr>
        <w:t>Pre-exposed v</w:t>
      </w:r>
      <w:r w:rsidRPr="006E48F2">
        <w:rPr>
          <w:rFonts w:asciiTheme="minorHAnsi" w:hAnsiTheme="minorHAnsi" w:cstheme="minorHAnsi"/>
          <w:lang w:val="en-US"/>
        </w:rPr>
        <w:t>accinated individuals showed higher titers than non-pre-exposed after the first (</w:t>
      </w:r>
      <w:r>
        <w:rPr>
          <w:rFonts w:asciiTheme="minorHAnsi" w:hAnsiTheme="minorHAnsi" w:cstheme="minorHAnsi"/>
          <w:lang w:val="en-US"/>
        </w:rPr>
        <w:t xml:space="preserve">median titers </w:t>
      </w:r>
      <w:r w:rsidRPr="006E48F2">
        <w:rPr>
          <w:rFonts w:asciiTheme="minorHAnsi" w:hAnsiTheme="minorHAnsi" w:cstheme="minorHAnsi"/>
          <w:lang w:val="en-US"/>
        </w:rPr>
        <w:t>of 1/387 versus 1/28</w:t>
      </w:r>
      <w:r>
        <w:rPr>
          <w:rFonts w:asciiTheme="minorHAnsi" w:hAnsiTheme="minorHAnsi" w:cstheme="minorHAnsi"/>
          <w:lang w:val="en-US"/>
        </w:rPr>
        <w:t>, respectively</w:t>
      </w:r>
      <w:r w:rsidRPr="006E48F2">
        <w:rPr>
          <w:rFonts w:asciiTheme="minorHAnsi" w:hAnsiTheme="minorHAnsi" w:cstheme="minorHAnsi"/>
          <w:lang w:val="en-US"/>
        </w:rPr>
        <w:t>) and the second dose</w:t>
      </w:r>
      <w:r>
        <w:rPr>
          <w:rFonts w:asciiTheme="minorHAnsi" w:hAnsiTheme="minorHAnsi" w:cstheme="minorHAnsi"/>
          <w:lang w:val="en-US"/>
        </w:rPr>
        <w:t>s</w:t>
      </w:r>
      <w:r w:rsidRPr="006E48F2">
        <w:rPr>
          <w:rFonts w:asciiTheme="minorHAnsi" w:hAnsiTheme="minorHAnsi" w:cstheme="minorHAnsi"/>
          <w:lang w:val="en-US"/>
        </w:rPr>
        <w:t xml:space="preserve"> (1/995 versus 1/703</w:t>
      </w:r>
      <w:r>
        <w:rPr>
          <w:rFonts w:asciiTheme="minorHAnsi" w:hAnsiTheme="minorHAnsi" w:cstheme="minorHAnsi"/>
          <w:lang w:val="en-US"/>
        </w:rPr>
        <w:t>, respectively</w:t>
      </w:r>
      <w:r w:rsidRPr="006E48F2">
        <w:rPr>
          <w:rFonts w:asciiTheme="minorHAnsi" w:hAnsiTheme="minorHAnsi" w:cstheme="minorHAnsi"/>
          <w:lang w:val="en-US"/>
        </w:rPr>
        <w:t xml:space="preserve">). As high as 72% of the </w:t>
      </w:r>
      <w:r w:rsidRPr="00CE1523">
        <w:rPr>
          <w:rFonts w:asciiTheme="minorHAnsi" w:hAnsiTheme="minorHAnsi" w:cstheme="minorHAnsi"/>
          <w:lang w:val="en-US"/>
        </w:rPr>
        <w:t>pre-exposed vaccinees</w:t>
      </w:r>
      <w:r w:rsidRPr="006E48F2">
        <w:rPr>
          <w:rFonts w:asciiTheme="minorHAnsi" w:hAnsiTheme="minorHAnsi" w:cstheme="minorHAnsi"/>
          <w:lang w:val="en-US"/>
        </w:rPr>
        <w:t xml:space="preserve"> presented titers &gt;1/80 </w:t>
      </w:r>
      <w:r>
        <w:rPr>
          <w:rFonts w:asciiTheme="minorHAnsi" w:hAnsiTheme="minorHAnsi" w:cstheme="minorHAnsi"/>
          <w:lang w:val="en-US"/>
        </w:rPr>
        <w:t>after</w:t>
      </w:r>
      <w:r w:rsidRPr="006E48F2">
        <w:rPr>
          <w:rFonts w:asciiTheme="minorHAnsi" w:hAnsiTheme="minorHAnsi" w:cstheme="minorHAnsi"/>
          <w:lang w:val="en-US"/>
        </w:rPr>
        <w:t xml:space="preserve"> a single dose, while only 11% of non-exposed vaccinated individuals had titers</w:t>
      </w:r>
      <w:r>
        <w:rPr>
          <w:rFonts w:asciiTheme="minorHAnsi" w:hAnsiTheme="minorHAnsi" w:cstheme="minorHAnsi"/>
          <w:lang w:val="en-US"/>
        </w:rPr>
        <w:t xml:space="preserve"> &gt;1/80</w:t>
      </w:r>
      <w:r w:rsidRPr="006E48F2">
        <w:rPr>
          <w:rFonts w:asciiTheme="minorHAnsi" w:hAnsiTheme="minorHAnsi" w:cstheme="minorHAnsi"/>
          <w:lang w:val="en-US"/>
        </w:rPr>
        <w:t>.</w:t>
      </w:r>
    </w:p>
    <w:p w14:paraId="6DE80E25" w14:textId="77777777" w:rsidR="00202107" w:rsidRDefault="00202107" w:rsidP="00202107">
      <w:pPr>
        <w:autoSpaceDE w:val="0"/>
        <w:autoSpaceDN w:val="0"/>
        <w:adjustRightInd w:val="0"/>
        <w:spacing w:line="480" w:lineRule="auto"/>
        <w:jc w:val="both"/>
        <w:rPr>
          <w:rFonts w:asciiTheme="minorHAnsi" w:hAnsiTheme="minorHAnsi" w:cstheme="minorHAnsi"/>
          <w:color w:val="000000"/>
          <w:lang w:val="en-US"/>
        </w:rPr>
      </w:pPr>
      <w:r w:rsidRPr="00465F74">
        <w:rPr>
          <w:rFonts w:asciiTheme="minorHAnsi" w:hAnsiTheme="minorHAnsi" w:cstheme="minorHAnsi"/>
          <w:b/>
          <w:bCs/>
          <w:color w:val="000000" w:themeColor="text1"/>
          <w:lang w:val="en-US"/>
        </w:rPr>
        <w:t>Conclusions</w:t>
      </w:r>
      <w:r w:rsidRPr="00465F74">
        <w:rPr>
          <w:rFonts w:asciiTheme="minorHAnsi" w:hAnsiTheme="minorHAnsi" w:cstheme="minorHAnsi"/>
          <w:color w:val="000000" w:themeColor="text1"/>
          <w:lang w:val="en-US"/>
        </w:rPr>
        <w:t xml:space="preserve">: </w:t>
      </w:r>
      <w:r w:rsidRPr="006E48F2">
        <w:rPr>
          <w:rFonts w:asciiTheme="minorHAnsi" w:hAnsiTheme="minorHAnsi" w:cstheme="minorHAnsi"/>
          <w:lang w:val="en-US"/>
        </w:rPr>
        <w:t>BNT162b2 mRNA</w:t>
      </w:r>
      <w:r>
        <w:rPr>
          <w:rFonts w:asciiTheme="minorHAnsi" w:hAnsiTheme="minorHAnsi" w:cstheme="minorHAnsi"/>
          <w:lang w:val="en-US"/>
        </w:rPr>
        <w:t>-</w:t>
      </w:r>
      <w:r w:rsidRPr="006E48F2">
        <w:rPr>
          <w:rFonts w:asciiTheme="minorHAnsi" w:hAnsiTheme="minorHAnsi" w:cstheme="minorHAnsi"/>
          <w:lang w:val="en-US"/>
        </w:rPr>
        <w:t xml:space="preserve">induced antibodies show a </w:t>
      </w:r>
      <w:r>
        <w:rPr>
          <w:rFonts w:asciiTheme="minorHAnsi" w:hAnsiTheme="minorHAnsi" w:cstheme="minorHAnsi"/>
          <w:lang w:val="en-US"/>
        </w:rPr>
        <w:t>lower</w:t>
      </w:r>
      <w:r w:rsidRPr="006E48F2">
        <w:rPr>
          <w:rFonts w:asciiTheme="minorHAnsi" w:hAnsiTheme="minorHAnsi" w:cstheme="minorHAnsi"/>
          <w:lang w:val="en-US"/>
        </w:rPr>
        <w:t xml:space="preserve"> in vitro </w:t>
      </w:r>
      <w:r w:rsidRPr="00DC790E">
        <w:rPr>
          <w:rFonts w:asciiTheme="minorHAnsi" w:hAnsiTheme="minorHAnsi" w:cstheme="minorHAnsi"/>
          <w:color w:val="000000" w:themeColor="text1"/>
          <w:lang w:val="en-US"/>
        </w:rPr>
        <w:t>neutraliz</w:t>
      </w:r>
      <w:r>
        <w:rPr>
          <w:rFonts w:asciiTheme="minorHAnsi" w:hAnsiTheme="minorHAnsi" w:cstheme="minorHAnsi"/>
          <w:color w:val="000000" w:themeColor="text1"/>
          <w:lang w:val="en-US"/>
        </w:rPr>
        <w:t>ing</w:t>
      </w:r>
      <w:r w:rsidRPr="00DC790E">
        <w:rPr>
          <w:rFonts w:asciiTheme="minorHAnsi" w:hAnsiTheme="minorHAnsi" w:cstheme="minorHAnsi"/>
          <w:color w:val="000000" w:themeColor="text1"/>
          <w:lang w:val="en-US"/>
        </w:rPr>
        <w:t xml:space="preserve"> activity against B.1.351 variant</w:t>
      </w:r>
      <w:r>
        <w:rPr>
          <w:rFonts w:asciiTheme="minorHAnsi" w:hAnsiTheme="minorHAnsi" w:cstheme="minorHAnsi"/>
          <w:color w:val="000000" w:themeColor="text1"/>
          <w:lang w:val="en-US"/>
        </w:rPr>
        <w:t xml:space="preserve"> </w:t>
      </w:r>
      <w:r w:rsidRPr="00DC790E">
        <w:rPr>
          <w:rFonts w:asciiTheme="minorHAnsi" w:hAnsiTheme="minorHAnsi" w:cstheme="minorHAnsi"/>
          <w:color w:val="000000" w:themeColor="text1"/>
          <w:lang w:val="en-US"/>
        </w:rPr>
        <w:t>compared to neutralization against B.1.1.7 or B.1 variants</w:t>
      </w:r>
      <w:r w:rsidRPr="006E48F2">
        <w:rPr>
          <w:rFonts w:asciiTheme="minorHAnsi" w:hAnsiTheme="minorHAnsi" w:cstheme="minorHAnsi"/>
          <w:color w:val="000000"/>
          <w:lang w:val="en-US"/>
        </w:rPr>
        <w:t xml:space="preserve">. Interestingly, for </w:t>
      </w:r>
      <w:r>
        <w:rPr>
          <w:rFonts w:asciiTheme="minorHAnsi" w:hAnsiTheme="minorHAnsi" w:cstheme="minorHAnsi"/>
          <w:color w:val="000000"/>
          <w:lang w:val="en-US"/>
        </w:rPr>
        <w:t>individuals pre-exposed to SARS-CoV-2</w:t>
      </w:r>
      <w:r w:rsidRPr="006E48F2">
        <w:rPr>
          <w:rFonts w:asciiTheme="minorHAnsi" w:hAnsiTheme="minorHAnsi" w:cstheme="minorHAnsi"/>
          <w:color w:val="000000"/>
          <w:lang w:val="en-US"/>
        </w:rPr>
        <w:t xml:space="preserve">, one dose of </w:t>
      </w:r>
      <w:r w:rsidRPr="006E48F2">
        <w:rPr>
          <w:rFonts w:asciiTheme="minorHAnsi" w:hAnsiTheme="minorHAnsi" w:cstheme="minorHAnsi"/>
          <w:lang w:val="en-US"/>
        </w:rPr>
        <w:t>BNT162b2 mRNA may be adequate to produce neutraliz</w:t>
      </w:r>
      <w:r>
        <w:rPr>
          <w:rFonts w:asciiTheme="minorHAnsi" w:hAnsiTheme="minorHAnsi" w:cstheme="minorHAnsi"/>
          <w:lang w:val="en-US"/>
        </w:rPr>
        <w:t>ing</w:t>
      </w:r>
      <w:r w:rsidRPr="006E48F2">
        <w:rPr>
          <w:rFonts w:asciiTheme="minorHAnsi" w:hAnsiTheme="minorHAnsi" w:cstheme="minorHAnsi"/>
          <w:lang w:val="en-US"/>
        </w:rPr>
        <w:t xml:space="preserve"> antibodies </w:t>
      </w:r>
      <w:r>
        <w:rPr>
          <w:rFonts w:asciiTheme="minorHAnsi" w:hAnsiTheme="minorHAnsi" w:cstheme="minorHAnsi"/>
          <w:lang w:val="en-US"/>
        </w:rPr>
        <w:t>against</w:t>
      </w:r>
      <w:r w:rsidRPr="006E48F2">
        <w:rPr>
          <w:rFonts w:asciiTheme="minorHAnsi" w:hAnsiTheme="minorHAnsi" w:cstheme="minorHAnsi"/>
          <w:lang w:val="en-US"/>
        </w:rPr>
        <w:t xml:space="preserve"> B.1.1.7 </w:t>
      </w:r>
      <w:r w:rsidRPr="006E48F2">
        <w:rPr>
          <w:rFonts w:asciiTheme="minorHAnsi" w:hAnsiTheme="minorHAnsi" w:cstheme="minorHAnsi"/>
          <w:lang w:val="en-US"/>
        </w:rPr>
        <w:lastRenderedPageBreak/>
        <w:t xml:space="preserve">and </w:t>
      </w:r>
      <w:r>
        <w:rPr>
          <w:rFonts w:asciiTheme="minorHAnsi" w:hAnsiTheme="minorHAnsi" w:cstheme="minorHAnsi"/>
          <w:color w:val="000000" w:themeColor="text1"/>
          <w:lang w:val="en-US"/>
        </w:rPr>
        <w:t>B.1</w:t>
      </w:r>
      <w:r w:rsidRPr="006E48F2">
        <w:rPr>
          <w:rFonts w:asciiTheme="minorHAnsi" w:hAnsiTheme="minorHAnsi" w:cstheme="minorHAnsi"/>
          <w:lang w:val="en-US"/>
        </w:rPr>
        <w:t xml:space="preserve">, </w:t>
      </w:r>
      <w:r>
        <w:rPr>
          <w:rFonts w:asciiTheme="minorHAnsi" w:hAnsiTheme="minorHAnsi" w:cstheme="minorHAnsi"/>
          <w:lang w:val="en-US"/>
        </w:rPr>
        <w:t>while two doses of</w:t>
      </w:r>
      <w:r w:rsidRPr="006E48F2">
        <w:rPr>
          <w:rFonts w:asciiTheme="minorHAnsi" w:hAnsiTheme="minorHAnsi" w:cstheme="minorHAnsi"/>
          <w:color w:val="000000"/>
          <w:lang w:val="en-US"/>
        </w:rPr>
        <w:t xml:space="preserve"> </w:t>
      </w:r>
      <w:r w:rsidRPr="006E48F2">
        <w:rPr>
          <w:rFonts w:asciiTheme="minorHAnsi" w:hAnsiTheme="minorHAnsi" w:cstheme="minorHAnsi"/>
          <w:lang w:val="en-US"/>
        </w:rPr>
        <w:t xml:space="preserve">BNT162b2 mRNA provide </w:t>
      </w:r>
      <w:r w:rsidRPr="006E48F2">
        <w:rPr>
          <w:rFonts w:asciiTheme="minorHAnsi" w:hAnsiTheme="minorHAnsi" w:cstheme="minorHAnsi"/>
          <w:color w:val="000000"/>
          <w:lang w:val="en-US"/>
        </w:rPr>
        <w:t>optimal neutraliz</w:t>
      </w:r>
      <w:r>
        <w:rPr>
          <w:rFonts w:asciiTheme="minorHAnsi" w:hAnsiTheme="minorHAnsi" w:cstheme="minorHAnsi"/>
          <w:color w:val="000000"/>
          <w:lang w:val="en-US"/>
        </w:rPr>
        <w:t>ing</w:t>
      </w:r>
      <w:r w:rsidRPr="006E48F2">
        <w:rPr>
          <w:rFonts w:asciiTheme="minorHAnsi" w:hAnsiTheme="minorHAnsi" w:cstheme="minorHAnsi"/>
          <w:color w:val="000000"/>
          <w:lang w:val="en-US"/>
        </w:rPr>
        <w:t xml:space="preserve"> antibody response </w:t>
      </w:r>
      <w:r>
        <w:rPr>
          <w:rFonts w:asciiTheme="minorHAnsi" w:hAnsiTheme="minorHAnsi" w:cstheme="minorHAnsi"/>
          <w:color w:val="000000"/>
          <w:lang w:val="en-US"/>
        </w:rPr>
        <w:t>against</w:t>
      </w:r>
      <w:r w:rsidRPr="006E48F2">
        <w:rPr>
          <w:rFonts w:asciiTheme="minorHAnsi" w:hAnsiTheme="minorHAnsi" w:cstheme="minorHAnsi"/>
          <w:color w:val="000000"/>
          <w:lang w:val="en-US"/>
        </w:rPr>
        <w:t xml:space="preserve"> B.1.351</w:t>
      </w:r>
      <w:r>
        <w:rPr>
          <w:rFonts w:asciiTheme="minorHAnsi" w:hAnsiTheme="minorHAnsi" w:cstheme="minorHAnsi"/>
          <w:color w:val="000000"/>
          <w:lang w:val="en-US"/>
        </w:rPr>
        <w:t xml:space="preserve"> too</w:t>
      </w:r>
      <w:r w:rsidRPr="006E48F2">
        <w:rPr>
          <w:rFonts w:asciiTheme="minorHAnsi" w:hAnsiTheme="minorHAnsi" w:cstheme="minorHAnsi"/>
          <w:color w:val="000000"/>
          <w:lang w:val="en-US"/>
        </w:rPr>
        <w:t xml:space="preserve">. </w:t>
      </w:r>
    </w:p>
    <w:p w14:paraId="7A73A310" w14:textId="77777777" w:rsidR="00202107" w:rsidRPr="001007BE" w:rsidRDefault="00202107" w:rsidP="00202107">
      <w:pPr>
        <w:rPr>
          <w:lang w:val="en-US"/>
        </w:rPr>
      </w:pPr>
    </w:p>
    <w:p w14:paraId="78A41EC1" w14:textId="77777777" w:rsidR="00202107" w:rsidRPr="005519EC" w:rsidRDefault="00202107" w:rsidP="00202107">
      <w:pPr>
        <w:jc w:val="both"/>
        <w:rPr>
          <w:rFonts w:asciiTheme="minorHAnsi" w:hAnsiTheme="minorHAnsi" w:cstheme="minorHAnsi"/>
          <w:lang w:val="en-US"/>
        </w:rPr>
      </w:pPr>
    </w:p>
    <w:p w14:paraId="75017B02" w14:textId="77777777" w:rsidR="00202107" w:rsidRPr="00866956" w:rsidRDefault="00202107" w:rsidP="00202107">
      <w:pPr>
        <w:jc w:val="both"/>
        <w:rPr>
          <w:rFonts w:asciiTheme="minorHAnsi" w:hAnsiTheme="minorHAnsi" w:cstheme="minorHAnsi"/>
          <w:color w:val="000000"/>
          <w:lang w:val="en-US"/>
        </w:rPr>
      </w:pPr>
      <w:r w:rsidRPr="00866956">
        <w:rPr>
          <w:rFonts w:asciiTheme="minorHAnsi" w:hAnsiTheme="minorHAnsi" w:cstheme="minorHAnsi"/>
          <w:color w:val="000000"/>
          <w:lang w:val="en-US"/>
        </w:rPr>
        <w:t> </w:t>
      </w:r>
    </w:p>
    <w:p w14:paraId="54D8EAB2" w14:textId="77777777" w:rsidR="00202107" w:rsidRPr="008A1108" w:rsidRDefault="00202107" w:rsidP="00202107">
      <w:pPr>
        <w:rPr>
          <w:lang w:val="en-US"/>
        </w:rPr>
      </w:pPr>
    </w:p>
    <w:p w14:paraId="5D47D059" w14:textId="77777777" w:rsidR="00202107" w:rsidRDefault="00202107">
      <w:pPr>
        <w:rPr>
          <w:rFonts w:asciiTheme="minorHAnsi" w:hAnsiTheme="minorHAnsi" w:cstheme="minorHAnsi"/>
          <w:b/>
          <w:bCs/>
          <w:lang w:val="en-US"/>
        </w:rPr>
      </w:pPr>
      <w:r>
        <w:rPr>
          <w:rFonts w:asciiTheme="minorHAnsi" w:hAnsiTheme="minorHAnsi" w:cstheme="minorHAnsi"/>
          <w:b/>
          <w:bCs/>
          <w:lang w:val="en-US"/>
        </w:rPr>
        <w:br w:type="page"/>
      </w:r>
    </w:p>
    <w:p w14:paraId="3A1865D5" w14:textId="4B8B2A22" w:rsidR="006E48F2" w:rsidRDefault="00A976ED" w:rsidP="00EF7D55">
      <w:pPr>
        <w:jc w:val="both"/>
        <w:rPr>
          <w:rFonts w:asciiTheme="minorHAnsi" w:hAnsiTheme="minorHAnsi" w:cstheme="minorHAnsi"/>
          <w:b/>
          <w:bCs/>
          <w:lang w:val="en-US"/>
        </w:rPr>
      </w:pPr>
      <w:r>
        <w:rPr>
          <w:rFonts w:asciiTheme="minorHAnsi" w:hAnsiTheme="minorHAnsi" w:cstheme="minorHAnsi"/>
          <w:b/>
          <w:bCs/>
          <w:lang w:val="en-US"/>
        </w:rPr>
        <w:lastRenderedPageBreak/>
        <w:t>I</w:t>
      </w:r>
      <w:r w:rsidR="00E366C1" w:rsidRPr="006E48F2">
        <w:rPr>
          <w:rFonts w:asciiTheme="minorHAnsi" w:hAnsiTheme="minorHAnsi" w:cstheme="minorHAnsi"/>
          <w:b/>
          <w:bCs/>
          <w:lang w:val="en-US"/>
        </w:rPr>
        <w:t>NTRODUCTION</w:t>
      </w:r>
    </w:p>
    <w:p w14:paraId="34DC395D" w14:textId="77777777" w:rsidR="0083086E" w:rsidRPr="00EF7D55" w:rsidRDefault="0083086E" w:rsidP="00EF7D55">
      <w:pPr>
        <w:jc w:val="both"/>
        <w:rPr>
          <w:rFonts w:asciiTheme="minorHAnsi" w:hAnsiTheme="minorHAnsi" w:cstheme="minorHAnsi"/>
          <w:b/>
          <w:bCs/>
          <w:i/>
          <w:iCs/>
          <w:sz w:val="32"/>
          <w:szCs w:val="32"/>
          <w:lang w:val="en-US"/>
        </w:rPr>
      </w:pPr>
    </w:p>
    <w:p w14:paraId="435549A3" w14:textId="708E8497" w:rsidR="00E20FAC" w:rsidRDefault="00E366C1" w:rsidP="00E20FAC">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In December 2019 a new coronavirus</w:t>
      </w:r>
      <w:r w:rsidR="003145E8">
        <w:rPr>
          <w:rFonts w:asciiTheme="minorHAnsi" w:hAnsiTheme="minorHAnsi" w:cstheme="minorHAnsi"/>
          <w:lang w:val="en-US"/>
        </w:rPr>
        <w:t>, named SARS-CoV-2</w:t>
      </w:r>
      <w:r w:rsidRPr="006E48F2">
        <w:rPr>
          <w:rFonts w:asciiTheme="minorHAnsi" w:hAnsiTheme="minorHAnsi" w:cstheme="minorHAnsi"/>
          <w:lang w:val="en-US"/>
        </w:rPr>
        <w:t xml:space="preserve"> appeared in China producing an acute respiratory disease known as COVI</w:t>
      </w:r>
      <w:r w:rsidRPr="008777B5">
        <w:rPr>
          <w:rFonts w:asciiTheme="minorHAnsi" w:hAnsiTheme="minorHAnsi" w:cstheme="minorHAnsi"/>
          <w:lang w:val="en-US"/>
        </w:rPr>
        <w:t>D</w:t>
      </w:r>
      <w:r w:rsidR="008777B5" w:rsidRPr="008777B5">
        <w:rPr>
          <w:rFonts w:asciiTheme="minorHAnsi" w:hAnsiTheme="minorHAnsi" w:cstheme="minorHAnsi"/>
          <w:lang w:val="en-US"/>
        </w:rPr>
        <w:t>-</w:t>
      </w:r>
      <w:r w:rsidRPr="008777B5">
        <w:rPr>
          <w:rFonts w:asciiTheme="minorHAnsi" w:hAnsiTheme="minorHAnsi" w:cstheme="minorHAnsi"/>
          <w:lang w:val="en-US"/>
        </w:rPr>
        <w:t>19</w:t>
      </w:r>
      <w:r w:rsidRPr="006E48F2">
        <w:rPr>
          <w:rFonts w:asciiTheme="minorHAnsi" w:hAnsiTheme="minorHAnsi" w:cstheme="minorHAnsi"/>
          <w:lang w:val="en-US"/>
        </w:rPr>
        <w:t xml:space="preserve">. Due to the vast spread worldwide the World Health Organization has declared </w:t>
      </w:r>
      <w:r w:rsidR="00795F1E" w:rsidRPr="006E48F2">
        <w:rPr>
          <w:rFonts w:asciiTheme="minorHAnsi" w:hAnsiTheme="minorHAnsi" w:cstheme="minorHAnsi"/>
          <w:lang w:val="en-US"/>
        </w:rPr>
        <w:t>COVI</w:t>
      </w:r>
      <w:r w:rsidR="00795F1E" w:rsidRPr="008777B5">
        <w:rPr>
          <w:rFonts w:asciiTheme="minorHAnsi" w:hAnsiTheme="minorHAnsi" w:cstheme="minorHAnsi"/>
          <w:lang w:val="en-US"/>
        </w:rPr>
        <w:t>D-19</w:t>
      </w:r>
      <w:r w:rsidR="00795F1E">
        <w:rPr>
          <w:rFonts w:asciiTheme="minorHAnsi" w:hAnsiTheme="minorHAnsi" w:cstheme="minorHAnsi"/>
          <w:lang w:val="en-US"/>
        </w:rPr>
        <w:t xml:space="preserve"> </w:t>
      </w:r>
      <w:r w:rsidRPr="006E48F2">
        <w:rPr>
          <w:rFonts w:asciiTheme="minorHAnsi" w:hAnsiTheme="minorHAnsi" w:cstheme="minorHAnsi"/>
          <w:lang w:val="en-US"/>
        </w:rPr>
        <w:t>a pandemic.</w:t>
      </w:r>
      <w:r w:rsidR="00580B3A" w:rsidRPr="009E7B81">
        <w:rPr>
          <w:rFonts w:asciiTheme="minorHAnsi" w:hAnsiTheme="minorHAnsi" w:cstheme="minorHAnsi"/>
          <w:vertAlign w:val="superscript"/>
          <w:lang w:val="en-US"/>
        </w:rPr>
        <w:t>1,2</w:t>
      </w:r>
      <w:r w:rsidRPr="006E48F2">
        <w:rPr>
          <w:rFonts w:asciiTheme="minorHAnsi" w:hAnsiTheme="minorHAnsi" w:cstheme="minorHAnsi"/>
          <w:lang w:val="en-US"/>
        </w:rPr>
        <w:t xml:space="preserve"> </w:t>
      </w:r>
      <w:r w:rsidR="003145E8">
        <w:rPr>
          <w:rFonts w:asciiTheme="minorHAnsi" w:hAnsiTheme="minorHAnsi" w:cstheme="minorHAnsi"/>
          <w:lang w:val="en-US"/>
        </w:rPr>
        <w:t xml:space="preserve">Vaccines against SARS-CoV-2 are available since </w:t>
      </w:r>
      <w:r w:rsidR="00E20FAC">
        <w:rPr>
          <w:rFonts w:asciiTheme="minorHAnsi" w:hAnsiTheme="minorHAnsi" w:cstheme="minorHAnsi"/>
          <w:lang w:val="en-US"/>
        </w:rPr>
        <w:t xml:space="preserve">December 2020. </w:t>
      </w:r>
      <w:r w:rsidRPr="006E48F2">
        <w:rPr>
          <w:rFonts w:asciiTheme="minorHAnsi" w:hAnsiTheme="minorHAnsi" w:cstheme="minorHAnsi"/>
          <w:lang w:val="en-US"/>
        </w:rPr>
        <w:t>SARS-CoV</w:t>
      </w:r>
      <w:r w:rsidR="00E20FAC">
        <w:rPr>
          <w:rFonts w:asciiTheme="minorHAnsi" w:hAnsiTheme="minorHAnsi" w:cstheme="minorHAnsi"/>
          <w:lang w:val="en-US"/>
        </w:rPr>
        <w:t>-</w:t>
      </w:r>
      <w:r w:rsidRPr="006E48F2">
        <w:rPr>
          <w:rFonts w:asciiTheme="minorHAnsi" w:hAnsiTheme="minorHAnsi" w:cstheme="minorHAnsi"/>
          <w:lang w:val="en-US"/>
        </w:rPr>
        <w:t xml:space="preserve">2 spike (S) protein is the focus of vaccines and the major target of neutralizing antibodies. </w:t>
      </w:r>
    </w:p>
    <w:p w14:paraId="7194CE3B" w14:textId="127B86D6" w:rsidR="00E20FAC" w:rsidRDefault="00E366C1" w:rsidP="006E48F2">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Antibodies agai</w:t>
      </w:r>
      <w:r w:rsidRPr="008777B5">
        <w:rPr>
          <w:rFonts w:asciiTheme="minorHAnsi" w:hAnsiTheme="minorHAnsi" w:cstheme="minorHAnsi"/>
          <w:lang w:val="en-US"/>
        </w:rPr>
        <w:t>nst</w:t>
      </w:r>
      <w:r w:rsidR="005A4260" w:rsidRPr="008777B5">
        <w:rPr>
          <w:rFonts w:asciiTheme="minorHAnsi" w:hAnsiTheme="minorHAnsi" w:cstheme="minorHAnsi"/>
          <w:lang w:val="en-US"/>
        </w:rPr>
        <w:t xml:space="preserve"> the</w:t>
      </w:r>
      <w:r w:rsidRPr="008777B5">
        <w:rPr>
          <w:rFonts w:asciiTheme="minorHAnsi" w:hAnsiTheme="minorHAnsi" w:cstheme="minorHAnsi"/>
          <w:lang w:val="en-US"/>
        </w:rPr>
        <w:t xml:space="preserve"> S protein </w:t>
      </w:r>
      <w:r w:rsidR="008777B5" w:rsidRPr="008777B5">
        <w:rPr>
          <w:rFonts w:asciiTheme="minorHAnsi" w:hAnsiTheme="minorHAnsi" w:cstheme="minorHAnsi"/>
          <w:lang w:val="en-US"/>
        </w:rPr>
        <w:t xml:space="preserve">provide </w:t>
      </w:r>
      <w:r w:rsidRPr="008777B5">
        <w:rPr>
          <w:rFonts w:asciiTheme="minorHAnsi" w:hAnsiTheme="minorHAnsi" w:cstheme="minorHAnsi"/>
          <w:lang w:val="en-US"/>
        </w:rPr>
        <w:t>protection against C</w:t>
      </w:r>
      <w:r w:rsidR="00E20FAC" w:rsidRPr="008777B5">
        <w:rPr>
          <w:rFonts w:asciiTheme="minorHAnsi" w:hAnsiTheme="minorHAnsi" w:cstheme="minorHAnsi"/>
          <w:lang w:val="en-US"/>
        </w:rPr>
        <w:t>OVID</w:t>
      </w:r>
      <w:r w:rsidRPr="008777B5">
        <w:rPr>
          <w:rFonts w:asciiTheme="minorHAnsi" w:hAnsiTheme="minorHAnsi" w:cstheme="minorHAnsi"/>
          <w:lang w:val="en-US"/>
        </w:rPr>
        <w:t xml:space="preserve">-19 and correlate with </w:t>
      </w:r>
      <w:r w:rsidR="008905D9" w:rsidRPr="008777B5">
        <w:rPr>
          <w:rFonts w:asciiTheme="minorHAnsi" w:hAnsiTheme="minorHAnsi" w:cstheme="minorHAnsi"/>
          <w:lang w:val="en-US"/>
        </w:rPr>
        <w:t>neutralizing</w:t>
      </w:r>
      <w:r w:rsidRPr="008777B5">
        <w:rPr>
          <w:rFonts w:asciiTheme="minorHAnsi" w:hAnsiTheme="minorHAnsi" w:cstheme="minorHAnsi"/>
          <w:lang w:val="en-US"/>
        </w:rPr>
        <w:t xml:space="preserve"> (NT) antibodies appear</w:t>
      </w:r>
      <w:r w:rsidR="005A4260" w:rsidRPr="008777B5">
        <w:rPr>
          <w:rFonts w:asciiTheme="minorHAnsi" w:hAnsiTheme="minorHAnsi" w:cstheme="minorHAnsi"/>
          <w:lang w:val="en-US"/>
        </w:rPr>
        <w:t>i</w:t>
      </w:r>
      <w:r w:rsidR="008777B5" w:rsidRPr="008777B5">
        <w:rPr>
          <w:rFonts w:asciiTheme="minorHAnsi" w:hAnsiTheme="minorHAnsi" w:cstheme="minorHAnsi"/>
          <w:lang w:val="en-US"/>
        </w:rPr>
        <w:t>n</w:t>
      </w:r>
      <w:r w:rsidR="005A4260" w:rsidRPr="008777B5">
        <w:rPr>
          <w:rFonts w:asciiTheme="minorHAnsi" w:hAnsiTheme="minorHAnsi" w:cstheme="minorHAnsi"/>
          <w:lang w:val="en-US"/>
        </w:rPr>
        <w:t>g</w:t>
      </w:r>
      <w:r w:rsidRPr="008777B5">
        <w:rPr>
          <w:rFonts w:asciiTheme="minorHAnsi" w:hAnsiTheme="minorHAnsi" w:cstheme="minorHAnsi"/>
          <w:lang w:val="en-US"/>
        </w:rPr>
        <w:t xml:space="preserve"> after symptoms and can last for several months.</w:t>
      </w:r>
      <w:r w:rsidR="00580B3A" w:rsidRPr="008777B5">
        <w:rPr>
          <w:rFonts w:asciiTheme="minorHAnsi" w:hAnsiTheme="minorHAnsi" w:cstheme="minorHAnsi"/>
          <w:vertAlign w:val="superscript"/>
          <w:lang w:val="en-US"/>
        </w:rPr>
        <w:t>3,4</w:t>
      </w:r>
      <w:r w:rsidRPr="008777B5">
        <w:rPr>
          <w:rFonts w:asciiTheme="minorHAnsi" w:hAnsiTheme="minorHAnsi" w:cstheme="minorHAnsi"/>
          <w:lang w:val="en-US"/>
        </w:rPr>
        <w:t xml:space="preserve"> Neutrali</w:t>
      </w:r>
      <w:r w:rsidR="006E48F2" w:rsidRPr="008777B5">
        <w:rPr>
          <w:rFonts w:asciiTheme="minorHAnsi" w:hAnsiTheme="minorHAnsi" w:cstheme="minorHAnsi"/>
          <w:lang w:val="en-US"/>
        </w:rPr>
        <w:t>z</w:t>
      </w:r>
      <w:r w:rsidRPr="008777B5">
        <w:rPr>
          <w:rFonts w:asciiTheme="minorHAnsi" w:hAnsiTheme="minorHAnsi" w:cstheme="minorHAnsi"/>
          <w:lang w:val="en-US"/>
        </w:rPr>
        <w:t xml:space="preserve">ing antibodies are important in hospitalized people but mild infected </w:t>
      </w:r>
      <w:r w:rsidR="005A4260" w:rsidRPr="008777B5">
        <w:rPr>
          <w:rFonts w:asciiTheme="minorHAnsi" w:hAnsiTheme="minorHAnsi" w:cstheme="minorHAnsi"/>
          <w:lang w:val="en-US"/>
        </w:rPr>
        <w:t xml:space="preserve">individuals </w:t>
      </w:r>
      <w:r w:rsidRPr="008777B5">
        <w:rPr>
          <w:rFonts w:asciiTheme="minorHAnsi" w:hAnsiTheme="minorHAnsi" w:cstheme="minorHAnsi"/>
          <w:lang w:val="en-US"/>
        </w:rPr>
        <w:t>could develop moderate NT titers.</w:t>
      </w:r>
      <w:r w:rsidR="00580B3A" w:rsidRPr="008777B5">
        <w:rPr>
          <w:rFonts w:asciiTheme="minorHAnsi" w:hAnsiTheme="minorHAnsi" w:cstheme="minorHAnsi"/>
          <w:vertAlign w:val="superscript"/>
          <w:lang w:val="en-US"/>
        </w:rPr>
        <w:t>5</w:t>
      </w:r>
      <w:r w:rsidRPr="008777B5">
        <w:rPr>
          <w:rFonts w:asciiTheme="minorHAnsi" w:hAnsiTheme="minorHAnsi" w:cstheme="minorHAnsi"/>
          <w:lang w:val="en-US"/>
        </w:rPr>
        <w:t xml:space="preserve"> Other authors consider that most infected individuals with mild or moderate illness develop an important IgG response against </w:t>
      </w:r>
      <w:r w:rsidR="005A4260" w:rsidRPr="008777B5">
        <w:rPr>
          <w:rFonts w:asciiTheme="minorHAnsi" w:hAnsiTheme="minorHAnsi" w:cstheme="minorHAnsi"/>
          <w:lang w:val="en-US"/>
        </w:rPr>
        <w:t xml:space="preserve">the </w:t>
      </w:r>
      <w:r w:rsidRPr="008777B5">
        <w:rPr>
          <w:rFonts w:asciiTheme="minorHAnsi" w:hAnsiTheme="minorHAnsi" w:cstheme="minorHAnsi"/>
          <w:lang w:val="en-US"/>
        </w:rPr>
        <w:t>S protein.</w:t>
      </w:r>
      <w:r w:rsidR="00580B3A" w:rsidRPr="008777B5">
        <w:rPr>
          <w:rFonts w:asciiTheme="minorHAnsi" w:hAnsiTheme="minorHAnsi" w:cstheme="minorHAnsi"/>
          <w:vertAlign w:val="superscript"/>
          <w:lang w:val="en-US"/>
        </w:rPr>
        <w:t>6</w:t>
      </w:r>
      <w:r w:rsidRPr="008777B5">
        <w:rPr>
          <w:rFonts w:asciiTheme="minorHAnsi" w:hAnsiTheme="minorHAnsi" w:cstheme="minorHAnsi"/>
          <w:lang w:val="en-US"/>
        </w:rPr>
        <w:t xml:space="preserve"> Neutralization of SARS-CoV</w:t>
      </w:r>
      <w:r w:rsidR="005A4260" w:rsidRPr="008777B5">
        <w:rPr>
          <w:rFonts w:asciiTheme="minorHAnsi" w:hAnsiTheme="minorHAnsi" w:cstheme="minorHAnsi"/>
          <w:lang w:val="en-US"/>
        </w:rPr>
        <w:t>-</w:t>
      </w:r>
      <w:r w:rsidRPr="008777B5">
        <w:rPr>
          <w:rFonts w:asciiTheme="minorHAnsi" w:hAnsiTheme="minorHAnsi" w:cstheme="minorHAnsi"/>
          <w:lang w:val="en-US"/>
        </w:rPr>
        <w:t>2 after recover</w:t>
      </w:r>
      <w:r w:rsidR="008777B5">
        <w:rPr>
          <w:rFonts w:asciiTheme="minorHAnsi" w:hAnsiTheme="minorHAnsi" w:cstheme="minorHAnsi"/>
          <w:lang w:val="en-US"/>
        </w:rPr>
        <w:t>ing from the</w:t>
      </w:r>
      <w:r w:rsidRPr="008777B5">
        <w:rPr>
          <w:rFonts w:asciiTheme="minorHAnsi" w:hAnsiTheme="minorHAnsi" w:cstheme="minorHAnsi"/>
          <w:lang w:val="en-US"/>
        </w:rPr>
        <w:t xml:space="preserve"> infect</w:t>
      </w:r>
      <w:r w:rsidRPr="006E48F2">
        <w:rPr>
          <w:rFonts w:asciiTheme="minorHAnsi" w:hAnsiTheme="minorHAnsi" w:cstheme="minorHAnsi"/>
          <w:lang w:val="en-US"/>
        </w:rPr>
        <w:t xml:space="preserve">ion or </w:t>
      </w:r>
      <w:r w:rsidR="008777B5">
        <w:rPr>
          <w:rFonts w:asciiTheme="minorHAnsi" w:hAnsiTheme="minorHAnsi" w:cstheme="minorHAnsi"/>
          <w:lang w:val="en-US"/>
        </w:rPr>
        <w:t xml:space="preserve">after </w:t>
      </w:r>
      <w:r w:rsidRPr="006E48F2">
        <w:rPr>
          <w:rFonts w:asciiTheme="minorHAnsi" w:hAnsiTheme="minorHAnsi" w:cstheme="minorHAnsi"/>
          <w:lang w:val="en-US"/>
        </w:rPr>
        <w:t>vaccination by high titers of neutralizing antibodies is of utmost importance to protect individuals from future exposures.</w:t>
      </w:r>
      <w:r w:rsidR="00580B3A">
        <w:rPr>
          <w:rFonts w:asciiTheme="minorHAnsi" w:hAnsiTheme="minorHAnsi" w:cstheme="minorHAnsi"/>
          <w:vertAlign w:val="superscript"/>
          <w:lang w:val="en-US"/>
        </w:rPr>
        <w:t>7</w:t>
      </w:r>
    </w:p>
    <w:p w14:paraId="14484215" w14:textId="5F747E77" w:rsidR="008D6B3A" w:rsidRDefault="00C539DD" w:rsidP="008D6B3A">
      <w:pPr>
        <w:pStyle w:val="NormalWeb"/>
        <w:spacing w:before="0" w:beforeAutospacing="0" w:line="480" w:lineRule="auto"/>
        <w:ind w:firstLine="708"/>
        <w:jc w:val="both"/>
        <w:rPr>
          <w:rFonts w:asciiTheme="minorHAnsi" w:hAnsiTheme="minorHAnsi" w:cstheme="minorHAnsi"/>
          <w:color w:val="000000"/>
          <w:lang w:val="en-US"/>
        </w:rPr>
      </w:pPr>
      <w:r w:rsidRPr="00C539DD">
        <w:rPr>
          <w:rFonts w:asciiTheme="minorHAnsi" w:hAnsiTheme="minorHAnsi" w:cstheme="minorHAnsi"/>
          <w:lang w:val="en-US"/>
        </w:rPr>
        <w:t>SARS-CoV-2 has evolved into several lineages and different variants have been emerging and circulating during the COVID</w:t>
      </w:r>
      <w:r w:rsidR="007F0B9C">
        <w:rPr>
          <w:rFonts w:asciiTheme="minorHAnsi" w:hAnsiTheme="minorHAnsi" w:cstheme="minorHAnsi"/>
          <w:lang w:val="en-US"/>
        </w:rPr>
        <w:t>-19</w:t>
      </w:r>
      <w:r w:rsidRPr="00C539DD">
        <w:rPr>
          <w:rFonts w:asciiTheme="minorHAnsi" w:hAnsiTheme="minorHAnsi" w:cstheme="minorHAnsi"/>
          <w:lang w:val="en-US"/>
        </w:rPr>
        <w:t xml:space="preserve"> pandemic. </w:t>
      </w:r>
      <w:r>
        <w:rPr>
          <w:rFonts w:asciiTheme="minorHAnsi" w:hAnsiTheme="minorHAnsi" w:cstheme="minorHAnsi"/>
          <w:lang w:val="en-US"/>
        </w:rPr>
        <w:t>SARS-CoV-2</w:t>
      </w:r>
      <w:r w:rsidRPr="00C539DD">
        <w:rPr>
          <w:rFonts w:asciiTheme="minorHAnsi" w:hAnsiTheme="minorHAnsi" w:cstheme="minorHAnsi"/>
          <w:color w:val="000000"/>
          <w:lang w:val="en-US"/>
        </w:rPr>
        <w:t xml:space="preserve"> variant</w:t>
      </w:r>
      <w:r>
        <w:rPr>
          <w:rFonts w:asciiTheme="minorHAnsi" w:hAnsiTheme="minorHAnsi" w:cstheme="minorHAnsi"/>
          <w:color w:val="000000"/>
          <w:lang w:val="en-US"/>
        </w:rPr>
        <w:t>s</w:t>
      </w:r>
      <w:r w:rsidRPr="00C539DD">
        <w:rPr>
          <w:rFonts w:asciiTheme="minorHAnsi" w:hAnsiTheme="minorHAnsi" w:cstheme="minorHAnsi"/>
          <w:color w:val="000000"/>
          <w:lang w:val="en-US"/>
        </w:rPr>
        <w:t xml:space="preserve"> </w:t>
      </w:r>
      <w:r>
        <w:rPr>
          <w:rFonts w:asciiTheme="minorHAnsi" w:hAnsiTheme="minorHAnsi" w:cstheme="minorHAnsi"/>
          <w:color w:val="000000"/>
          <w:lang w:val="en-US"/>
        </w:rPr>
        <w:t xml:space="preserve">are important because they may present </w:t>
      </w:r>
      <w:r w:rsidRPr="00C539DD">
        <w:rPr>
          <w:rFonts w:asciiTheme="minorHAnsi" w:hAnsiTheme="minorHAnsi" w:cstheme="minorHAnsi"/>
          <w:color w:val="000000"/>
          <w:lang w:val="en-US"/>
        </w:rPr>
        <w:t xml:space="preserve">with specific genetic markers that have been associated with </w:t>
      </w:r>
      <w:r w:rsidR="007F0B9C">
        <w:rPr>
          <w:rFonts w:asciiTheme="minorHAnsi" w:hAnsiTheme="minorHAnsi" w:cstheme="minorHAnsi"/>
          <w:color w:val="000000"/>
          <w:lang w:val="en-US"/>
        </w:rPr>
        <w:t>differences</w:t>
      </w:r>
      <w:r w:rsidR="007F0B9C" w:rsidRPr="00C539DD">
        <w:rPr>
          <w:rFonts w:asciiTheme="minorHAnsi" w:hAnsiTheme="minorHAnsi" w:cstheme="minorHAnsi"/>
          <w:color w:val="000000"/>
          <w:lang w:val="en-US"/>
        </w:rPr>
        <w:t xml:space="preserve"> </w:t>
      </w:r>
      <w:r w:rsidR="007F0B9C" w:rsidRPr="007F0B9C">
        <w:rPr>
          <w:rFonts w:asciiTheme="minorHAnsi" w:hAnsiTheme="minorHAnsi" w:cstheme="minorHAnsi"/>
          <w:color w:val="000000"/>
          <w:lang w:val="en-US"/>
        </w:rPr>
        <w:t>in</w:t>
      </w:r>
      <w:r w:rsidR="007F0B9C" w:rsidRPr="00C539DD">
        <w:rPr>
          <w:rFonts w:asciiTheme="minorHAnsi" w:hAnsiTheme="minorHAnsi" w:cstheme="minorHAnsi"/>
          <w:color w:val="000000"/>
          <w:lang w:val="en-US"/>
        </w:rPr>
        <w:t xml:space="preserve"> </w:t>
      </w:r>
      <w:r w:rsidRPr="00C539DD">
        <w:rPr>
          <w:rFonts w:asciiTheme="minorHAnsi" w:hAnsiTheme="minorHAnsi" w:cstheme="minorHAnsi"/>
          <w:color w:val="000000"/>
          <w:lang w:val="en-US"/>
        </w:rPr>
        <w:t xml:space="preserve">receptor binding, </w:t>
      </w:r>
      <w:r w:rsidR="007F0B9C">
        <w:rPr>
          <w:rFonts w:asciiTheme="minorHAnsi" w:hAnsiTheme="minorHAnsi" w:cstheme="minorHAnsi"/>
          <w:color w:val="000000"/>
          <w:lang w:val="en-US"/>
        </w:rPr>
        <w:t>lower</w:t>
      </w:r>
      <w:r w:rsidR="007F0B9C" w:rsidRPr="00C539DD">
        <w:rPr>
          <w:rFonts w:asciiTheme="minorHAnsi" w:hAnsiTheme="minorHAnsi" w:cstheme="minorHAnsi"/>
          <w:color w:val="000000"/>
          <w:lang w:val="en-US"/>
        </w:rPr>
        <w:t xml:space="preserve"> </w:t>
      </w:r>
      <w:r w:rsidRPr="00C539DD">
        <w:rPr>
          <w:rFonts w:asciiTheme="minorHAnsi" w:hAnsiTheme="minorHAnsi" w:cstheme="minorHAnsi"/>
          <w:color w:val="000000"/>
          <w:lang w:val="en-US"/>
        </w:rPr>
        <w:t xml:space="preserve">neutralization by antibodies generated against previous infection or vaccination, </w:t>
      </w:r>
      <w:r w:rsidR="007F0B9C">
        <w:rPr>
          <w:rFonts w:asciiTheme="minorHAnsi" w:hAnsiTheme="minorHAnsi" w:cstheme="minorHAnsi"/>
          <w:color w:val="000000"/>
          <w:lang w:val="en-US"/>
        </w:rPr>
        <w:t>different</w:t>
      </w:r>
      <w:r w:rsidR="007F0B9C" w:rsidRPr="00C539DD">
        <w:rPr>
          <w:rFonts w:asciiTheme="minorHAnsi" w:hAnsiTheme="minorHAnsi" w:cstheme="minorHAnsi"/>
          <w:color w:val="000000"/>
          <w:lang w:val="en-US"/>
        </w:rPr>
        <w:t xml:space="preserve"> </w:t>
      </w:r>
      <w:r w:rsidRPr="00C539DD">
        <w:rPr>
          <w:rFonts w:asciiTheme="minorHAnsi" w:hAnsiTheme="minorHAnsi" w:cstheme="minorHAnsi"/>
          <w:color w:val="000000"/>
          <w:lang w:val="en-US"/>
        </w:rPr>
        <w:t xml:space="preserve">efficacy of treatments, potential diagnostic impact, or </w:t>
      </w:r>
      <w:r w:rsidR="007F0B9C">
        <w:rPr>
          <w:rFonts w:asciiTheme="minorHAnsi" w:hAnsiTheme="minorHAnsi" w:cstheme="minorHAnsi"/>
          <w:color w:val="000000"/>
          <w:lang w:val="en-US"/>
        </w:rPr>
        <w:t>differences</w:t>
      </w:r>
      <w:r w:rsidRPr="00C539DD">
        <w:rPr>
          <w:rFonts w:asciiTheme="minorHAnsi" w:hAnsiTheme="minorHAnsi" w:cstheme="minorHAnsi"/>
          <w:color w:val="000000"/>
          <w:lang w:val="en-US"/>
        </w:rPr>
        <w:t xml:space="preserve"> in transmissibility or disease severity</w:t>
      </w:r>
      <w:r w:rsidR="00E60993">
        <w:rPr>
          <w:rFonts w:asciiTheme="minorHAnsi" w:hAnsiTheme="minorHAnsi" w:cstheme="minorHAnsi"/>
          <w:color w:val="000000"/>
          <w:lang w:val="en-US"/>
        </w:rPr>
        <w:t>.</w:t>
      </w:r>
      <w:r w:rsidR="00E60993">
        <w:rPr>
          <w:rFonts w:asciiTheme="minorHAnsi" w:hAnsiTheme="minorHAnsi" w:cstheme="minorHAnsi"/>
          <w:color w:val="000000"/>
          <w:vertAlign w:val="superscript"/>
          <w:lang w:val="en-US"/>
        </w:rPr>
        <w:t>8</w:t>
      </w:r>
      <w:r>
        <w:rPr>
          <w:rFonts w:asciiTheme="minorHAnsi" w:hAnsiTheme="minorHAnsi" w:cstheme="minorHAnsi"/>
          <w:color w:val="000000"/>
          <w:lang w:val="en-US"/>
        </w:rPr>
        <w:t xml:space="preserve"> </w:t>
      </w:r>
    </w:p>
    <w:p w14:paraId="0FE225BF" w14:textId="1324881B" w:rsidR="00E366C1" w:rsidRPr="00866956" w:rsidRDefault="00E366C1" w:rsidP="008D6B3A">
      <w:pPr>
        <w:pStyle w:val="NormalWeb"/>
        <w:spacing w:before="0" w:beforeAutospacing="0" w:line="480" w:lineRule="auto"/>
        <w:ind w:firstLine="708"/>
        <w:jc w:val="both"/>
        <w:rPr>
          <w:rFonts w:asciiTheme="minorHAnsi" w:hAnsiTheme="minorHAnsi" w:cstheme="minorHAnsi"/>
          <w:color w:val="000000"/>
          <w:vertAlign w:val="superscript"/>
          <w:lang w:val="en-US"/>
        </w:rPr>
      </w:pPr>
      <w:r w:rsidRPr="006E48F2">
        <w:rPr>
          <w:rFonts w:asciiTheme="minorHAnsi" w:hAnsiTheme="minorHAnsi" w:cstheme="minorHAnsi"/>
          <w:lang w:val="en-US"/>
        </w:rPr>
        <w:t>RNA messenger vaccines have proved to induce high levels of neutralizing antibodies</w:t>
      </w:r>
      <w:r w:rsidR="00580B3A">
        <w:rPr>
          <w:rFonts w:asciiTheme="minorHAnsi" w:hAnsiTheme="minorHAnsi" w:cstheme="minorHAnsi"/>
          <w:vertAlign w:val="superscript"/>
          <w:lang w:val="en-US"/>
        </w:rPr>
        <w:t>6</w:t>
      </w:r>
      <w:r w:rsidR="00580B3A">
        <w:rPr>
          <w:rFonts w:asciiTheme="minorHAnsi" w:hAnsiTheme="minorHAnsi" w:cstheme="minorHAnsi"/>
          <w:lang w:val="en-US"/>
        </w:rPr>
        <w:t xml:space="preserve"> </w:t>
      </w:r>
      <w:r w:rsidR="008D1846">
        <w:rPr>
          <w:rFonts w:asciiTheme="minorHAnsi" w:hAnsiTheme="minorHAnsi" w:cstheme="minorHAnsi"/>
          <w:lang w:val="en-US"/>
        </w:rPr>
        <w:t xml:space="preserve">that persist </w:t>
      </w:r>
      <w:r w:rsidR="00664474">
        <w:rPr>
          <w:rFonts w:asciiTheme="minorHAnsi" w:hAnsiTheme="minorHAnsi" w:cstheme="minorHAnsi"/>
          <w:lang w:val="en-US"/>
        </w:rPr>
        <w:t>in serum six month after vaccination</w:t>
      </w:r>
      <w:r w:rsidR="00580B3A">
        <w:rPr>
          <w:rFonts w:asciiTheme="minorHAnsi" w:hAnsiTheme="minorHAnsi" w:cstheme="minorHAnsi"/>
          <w:lang w:val="en-US"/>
        </w:rPr>
        <w:t>.</w:t>
      </w:r>
      <w:r w:rsidR="00E60993">
        <w:rPr>
          <w:rFonts w:asciiTheme="minorHAnsi" w:hAnsiTheme="minorHAnsi" w:cstheme="minorHAnsi"/>
          <w:vertAlign w:val="superscript"/>
          <w:lang w:val="en-US"/>
        </w:rPr>
        <w:t>9</w:t>
      </w:r>
      <w:r w:rsidR="00664474">
        <w:rPr>
          <w:rFonts w:asciiTheme="minorHAnsi" w:hAnsiTheme="minorHAnsi" w:cstheme="minorHAnsi"/>
          <w:lang w:val="en-US"/>
        </w:rPr>
        <w:t xml:space="preserve"> </w:t>
      </w:r>
      <w:r w:rsidR="00E20FAC">
        <w:rPr>
          <w:rFonts w:asciiTheme="minorHAnsi" w:hAnsiTheme="minorHAnsi" w:cstheme="minorHAnsi"/>
          <w:lang w:val="en-US"/>
        </w:rPr>
        <w:t xml:space="preserve">However, it is unclear whether natural variation and evolution of SARS-CoV-2 may evade </w:t>
      </w:r>
      <w:r w:rsidR="007F0B9C">
        <w:rPr>
          <w:rFonts w:asciiTheme="minorHAnsi" w:hAnsiTheme="minorHAnsi" w:cstheme="minorHAnsi"/>
          <w:lang w:val="en-US"/>
        </w:rPr>
        <w:t xml:space="preserve">the </w:t>
      </w:r>
      <w:r w:rsidR="00E20FAC">
        <w:rPr>
          <w:rFonts w:asciiTheme="minorHAnsi" w:hAnsiTheme="minorHAnsi" w:cstheme="minorHAnsi"/>
          <w:lang w:val="en-US"/>
        </w:rPr>
        <w:t xml:space="preserve">immune </w:t>
      </w:r>
      <w:r w:rsidR="00E20FAC">
        <w:rPr>
          <w:rFonts w:asciiTheme="minorHAnsi" w:hAnsiTheme="minorHAnsi" w:cstheme="minorHAnsi"/>
          <w:lang w:val="en-US"/>
        </w:rPr>
        <w:lastRenderedPageBreak/>
        <w:t xml:space="preserve">response, and recent reports </w:t>
      </w:r>
      <w:r w:rsidRPr="006E48F2">
        <w:rPr>
          <w:rFonts w:asciiTheme="minorHAnsi" w:hAnsiTheme="minorHAnsi" w:cstheme="minorHAnsi"/>
          <w:lang w:val="en-US"/>
        </w:rPr>
        <w:t>along the last months suggest that SARS-CoV-2 has the potential to escape antibody mediated immunity.</w:t>
      </w:r>
      <w:r w:rsidR="00E60993">
        <w:rPr>
          <w:rFonts w:asciiTheme="minorHAnsi" w:hAnsiTheme="minorHAnsi" w:cstheme="minorHAnsi"/>
          <w:vertAlign w:val="superscript"/>
          <w:lang w:val="en-US"/>
        </w:rPr>
        <w:t>10</w:t>
      </w:r>
      <w:r w:rsidR="00580B3A">
        <w:rPr>
          <w:rFonts w:asciiTheme="minorHAnsi" w:hAnsiTheme="minorHAnsi" w:cstheme="minorHAnsi"/>
          <w:vertAlign w:val="superscript"/>
          <w:lang w:val="en-US"/>
        </w:rPr>
        <w:t>,1</w:t>
      </w:r>
      <w:r w:rsidR="00E60993">
        <w:rPr>
          <w:rFonts w:asciiTheme="minorHAnsi" w:hAnsiTheme="minorHAnsi" w:cstheme="minorHAnsi"/>
          <w:vertAlign w:val="superscript"/>
          <w:lang w:val="en-US"/>
        </w:rPr>
        <w:t>1</w:t>
      </w:r>
      <w:r w:rsidRPr="006E48F2">
        <w:rPr>
          <w:rFonts w:asciiTheme="minorHAnsi" w:hAnsiTheme="minorHAnsi" w:cstheme="minorHAnsi"/>
          <w:lang w:val="en-US"/>
        </w:rPr>
        <w:t xml:space="preserve"> </w:t>
      </w:r>
      <w:r w:rsidR="00465F74">
        <w:rPr>
          <w:rFonts w:asciiTheme="minorHAnsi" w:hAnsiTheme="minorHAnsi" w:cstheme="minorHAnsi"/>
          <w:color w:val="000000"/>
          <w:lang w:val="en-US"/>
        </w:rPr>
        <w:t xml:space="preserve">Several variants of concern (VOC) are currently under evaluation because of their ability to evade the </w:t>
      </w:r>
      <w:r w:rsidR="008905D9">
        <w:rPr>
          <w:rFonts w:asciiTheme="minorHAnsi" w:hAnsiTheme="minorHAnsi" w:cstheme="minorHAnsi"/>
          <w:color w:val="000000"/>
          <w:lang w:val="en-US"/>
        </w:rPr>
        <w:t>neutralizing</w:t>
      </w:r>
      <w:r w:rsidR="00465F74">
        <w:rPr>
          <w:rFonts w:asciiTheme="minorHAnsi" w:hAnsiTheme="minorHAnsi" w:cstheme="minorHAnsi"/>
          <w:color w:val="000000"/>
          <w:lang w:val="en-US"/>
        </w:rPr>
        <w:t xml:space="preserve"> effect of the antibodies induced by current</w:t>
      </w:r>
      <w:r w:rsidR="00253528">
        <w:rPr>
          <w:rFonts w:asciiTheme="minorHAnsi" w:hAnsiTheme="minorHAnsi" w:cstheme="minorHAnsi"/>
          <w:color w:val="000000"/>
          <w:lang w:val="en-US"/>
        </w:rPr>
        <w:t>ly available</w:t>
      </w:r>
      <w:r w:rsidR="00465F74">
        <w:rPr>
          <w:rFonts w:asciiTheme="minorHAnsi" w:hAnsiTheme="minorHAnsi" w:cstheme="minorHAnsi"/>
          <w:color w:val="000000"/>
          <w:lang w:val="en-US"/>
        </w:rPr>
        <w:t xml:space="preserve"> vaccines. </w:t>
      </w:r>
      <w:r w:rsidRPr="006E48F2">
        <w:rPr>
          <w:rFonts w:asciiTheme="minorHAnsi" w:hAnsiTheme="minorHAnsi" w:cstheme="minorHAnsi"/>
          <w:lang w:val="en-US"/>
        </w:rPr>
        <w:t>The spread of virus in immune competent population due to natural infection or vaccination has the potential to generate new SARS-CoV2 variants in a way to escape from herd immunity.</w:t>
      </w:r>
      <w:r w:rsidR="00580B3A">
        <w:rPr>
          <w:rFonts w:asciiTheme="minorHAnsi" w:hAnsiTheme="minorHAnsi" w:cstheme="minorHAnsi"/>
          <w:vertAlign w:val="superscript"/>
          <w:lang w:val="en-US"/>
        </w:rPr>
        <w:t>1</w:t>
      </w:r>
      <w:r w:rsidR="00E60993">
        <w:rPr>
          <w:rFonts w:asciiTheme="minorHAnsi" w:hAnsiTheme="minorHAnsi" w:cstheme="minorHAnsi"/>
          <w:vertAlign w:val="superscript"/>
          <w:lang w:val="en-US"/>
        </w:rPr>
        <w:t>2</w:t>
      </w:r>
    </w:p>
    <w:p w14:paraId="71CEDCE3" w14:textId="4CE72887" w:rsidR="00E366C1" w:rsidRDefault="00E366C1" w:rsidP="00632095">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 xml:space="preserve">The aim of this study </w:t>
      </w:r>
      <w:r w:rsidR="008D6B3A">
        <w:rPr>
          <w:rFonts w:asciiTheme="minorHAnsi" w:hAnsiTheme="minorHAnsi" w:cstheme="minorHAnsi"/>
          <w:lang w:val="en-US"/>
        </w:rPr>
        <w:t xml:space="preserve">was to </w:t>
      </w:r>
      <w:r w:rsidR="00762DC9">
        <w:rPr>
          <w:rFonts w:asciiTheme="minorHAnsi" w:hAnsiTheme="minorHAnsi" w:cstheme="minorHAnsi"/>
          <w:lang w:val="en-US"/>
        </w:rPr>
        <w:t>assess</w:t>
      </w:r>
      <w:r w:rsidR="00762DC9" w:rsidRPr="006E48F2">
        <w:rPr>
          <w:rFonts w:asciiTheme="minorHAnsi" w:hAnsiTheme="minorHAnsi" w:cstheme="minorHAnsi"/>
          <w:lang w:val="en-US"/>
        </w:rPr>
        <w:t xml:space="preserve"> </w:t>
      </w:r>
      <w:r w:rsidRPr="006E48F2">
        <w:rPr>
          <w:rFonts w:asciiTheme="minorHAnsi" w:hAnsiTheme="minorHAnsi" w:cstheme="minorHAnsi"/>
          <w:lang w:val="en-US"/>
        </w:rPr>
        <w:t xml:space="preserve">the </w:t>
      </w:r>
      <w:r w:rsidR="008D6B3A">
        <w:rPr>
          <w:rFonts w:asciiTheme="minorHAnsi" w:hAnsiTheme="minorHAnsi" w:cstheme="minorHAnsi"/>
          <w:lang w:val="en-US"/>
        </w:rPr>
        <w:t xml:space="preserve">ability of </w:t>
      </w:r>
      <w:bookmarkStart w:id="0" w:name="_Hlk68535862"/>
      <w:bookmarkStart w:id="1" w:name="_Hlk66121381"/>
      <w:r w:rsidR="006F74EF">
        <w:rPr>
          <w:rFonts w:asciiTheme="minorHAnsi" w:hAnsiTheme="minorHAnsi" w:cstheme="minorHAnsi"/>
          <w:lang w:val="en-US"/>
        </w:rPr>
        <w:t xml:space="preserve">the antibodies generated after vaccination with </w:t>
      </w:r>
      <w:r w:rsidRPr="006E48F2">
        <w:rPr>
          <w:rFonts w:asciiTheme="minorHAnsi" w:hAnsiTheme="minorHAnsi" w:cstheme="minorHAnsi"/>
          <w:lang w:val="en-US"/>
        </w:rPr>
        <w:t>BNT162b2 mRNA</w:t>
      </w:r>
      <w:r w:rsidRPr="006E48F2">
        <w:rPr>
          <w:rStyle w:val="jlqj4b"/>
          <w:rFonts w:asciiTheme="minorHAnsi" w:hAnsiTheme="minorHAnsi" w:cstheme="minorHAnsi"/>
          <w:lang w:val="en-US"/>
        </w:rPr>
        <w:t xml:space="preserve"> </w:t>
      </w:r>
      <w:bookmarkEnd w:id="0"/>
      <w:bookmarkEnd w:id="1"/>
      <w:r w:rsidR="006F74EF">
        <w:rPr>
          <w:rFonts w:asciiTheme="minorHAnsi" w:hAnsiTheme="minorHAnsi" w:cstheme="minorHAnsi"/>
          <w:lang w:val="en-US"/>
        </w:rPr>
        <w:t>to in vitro neutralize SARS-CoV-2</w:t>
      </w:r>
      <w:r w:rsidRPr="006E48F2">
        <w:rPr>
          <w:rFonts w:asciiTheme="minorHAnsi" w:hAnsiTheme="minorHAnsi" w:cstheme="minorHAnsi"/>
          <w:lang w:val="en-US"/>
        </w:rPr>
        <w:t xml:space="preserve"> B.1, B.1.1.7 and B.1.351</w:t>
      </w:r>
      <w:r w:rsidR="006F74EF">
        <w:rPr>
          <w:rFonts w:asciiTheme="minorHAnsi" w:hAnsiTheme="minorHAnsi" w:cstheme="minorHAnsi"/>
          <w:lang w:val="en-US"/>
        </w:rPr>
        <w:t xml:space="preserve"> </w:t>
      </w:r>
      <w:r w:rsidR="00762DC9" w:rsidRPr="006E48F2">
        <w:rPr>
          <w:rFonts w:asciiTheme="minorHAnsi" w:hAnsiTheme="minorHAnsi" w:cstheme="minorHAnsi"/>
          <w:lang w:val="en-US"/>
        </w:rPr>
        <w:t xml:space="preserve">lineages </w:t>
      </w:r>
      <w:r w:rsidR="006F74EF">
        <w:rPr>
          <w:rFonts w:asciiTheme="minorHAnsi" w:hAnsiTheme="minorHAnsi" w:cstheme="minorHAnsi"/>
          <w:lang w:val="en-US"/>
        </w:rPr>
        <w:t>using a full virus neutralization assay.</w:t>
      </w:r>
    </w:p>
    <w:p w14:paraId="18024657" w14:textId="77777777" w:rsidR="005D3609" w:rsidRPr="006E48F2" w:rsidRDefault="005D3609" w:rsidP="00632095">
      <w:pPr>
        <w:spacing w:line="480" w:lineRule="auto"/>
        <w:ind w:firstLine="708"/>
        <w:jc w:val="both"/>
        <w:rPr>
          <w:rFonts w:asciiTheme="minorHAnsi" w:hAnsiTheme="minorHAnsi" w:cstheme="minorHAnsi"/>
          <w:lang w:val="en-US"/>
        </w:rPr>
      </w:pPr>
    </w:p>
    <w:p w14:paraId="1571338C" w14:textId="003B7BC4" w:rsidR="004D1E7B" w:rsidRDefault="00E366C1" w:rsidP="005D3609">
      <w:pPr>
        <w:spacing w:line="480" w:lineRule="auto"/>
        <w:rPr>
          <w:rFonts w:asciiTheme="minorHAnsi" w:hAnsiTheme="minorHAnsi" w:cstheme="minorHAnsi"/>
          <w:b/>
          <w:bCs/>
          <w:lang w:val="en-US"/>
        </w:rPr>
      </w:pPr>
      <w:r w:rsidRPr="006E48F2">
        <w:rPr>
          <w:rFonts w:asciiTheme="minorHAnsi" w:hAnsiTheme="minorHAnsi" w:cstheme="minorHAnsi"/>
          <w:b/>
          <w:bCs/>
          <w:lang w:val="en-US"/>
        </w:rPr>
        <w:t>MATERIALS AND METHODS</w:t>
      </w:r>
    </w:p>
    <w:p w14:paraId="02E91E5F" w14:textId="2F92D887" w:rsidR="00E366C1" w:rsidRPr="006E48F2" w:rsidRDefault="00632095" w:rsidP="005D3609">
      <w:pPr>
        <w:spacing w:line="480" w:lineRule="auto"/>
        <w:jc w:val="both"/>
        <w:rPr>
          <w:rFonts w:asciiTheme="minorHAnsi" w:hAnsiTheme="minorHAnsi" w:cstheme="minorHAnsi"/>
          <w:b/>
          <w:bCs/>
          <w:lang w:val="en-US"/>
        </w:rPr>
      </w:pPr>
      <w:r>
        <w:rPr>
          <w:rFonts w:asciiTheme="minorHAnsi" w:hAnsiTheme="minorHAnsi" w:cstheme="minorHAnsi"/>
          <w:b/>
          <w:bCs/>
          <w:lang w:val="en-US"/>
        </w:rPr>
        <w:t>Participants</w:t>
      </w:r>
    </w:p>
    <w:p w14:paraId="1CF241CC" w14:textId="570071F7" w:rsidR="005D3609" w:rsidRDefault="00632095" w:rsidP="0034564A">
      <w:pPr>
        <w:spacing w:line="480" w:lineRule="auto"/>
        <w:ind w:firstLine="708"/>
        <w:jc w:val="both"/>
        <w:rPr>
          <w:rFonts w:asciiTheme="minorHAnsi" w:hAnsiTheme="minorHAnsi" w:cstheme="minorHAnsi"/>
          <w:lang w:val="en-US"/>
        </w:rPr>
      </w:pPr>
      <w:r>
        <w:rPr>
          <w:rFonts w:asciiTheme="minorHAnsi" w:hAnsiTheme="minorHAnsi" w:cstheme="minorHAnsi"/>
          <w:lang w:val="en-US"/>
        </w:rPr>
        <w:t xml:space="preserve">Ninety-nine </w:t>
      </w:r>
      <w:r w:rsidR="00E366C1" w:rsidRPr="006E48F2">
        <w:rPr>
          <w:rFonts w:asciiTheme="minorHAnsi" w:hAnsiTheme="minorHAnsi" w:cstheme="minorHAnsi"/>
          <w:lang w:val="en-US"/>
        </w:rPr>
        <w:t xml:space="preserve">healthcare workers that received two doses of BNT162b2 </w:t>
      </w:r>
      <w:r w:rsidR="00467495" w:rsidRPr="006E48F2">
        <w:rPr>
          <w:rFonts w:asciiTheme="minorHAnsi" w:hAnsiTheme="minorHAnsi" w:cstheme="minorHAnsi"/>
          <w:lang w:val="en-US"/>
        </w:rPr>
        <w:t xml:space="preserve">mRNA </w:t>
      </w:r>
      <w:r w:rsidR="00E366C1" w:rsidRPr="006E48F2">
        <w:rPr>
          <w:rFonts w:asciiTheme="minorHAnsi" w:hAnsiTheme="minorHAnsi" w:cstheme="minorHAnsi"/>
          <w:lang w:val="en-US"/>
        </w:rPr>
        <w:t>vaccine</w:t>
      </w:r>
      <w:r w:rsidR="00E366C1" w:rsidRPr="006E48F2">
        <w:rPr>
          <w:rStyle w:val="jlqj4b"/>
          <w:rFonts w:asciiTheme="minorHAnsi" w:hAnsiTheme="minorHAnsi" w:cstheme="minorHAnsi"/>
          <w:lang w:val="en-US"/>
        </w:rPr>
        <w:t>, 76 women (mean age 46, range 25-66) and 23 men (mean age 44, range 27-60)</w:t>
      </w:r>
      <w:r>
        <w:rPr>
          <w:rStyle w:val="jlqj4b"/>
          <w:rFonts w:asciiTheme="minorHAnsi" w:hAnsiTheme="minorHAnsi" w:cstheme="minorHAnsi"/>
          <w:lang w:val="en-US"/>
        </w:rPr>
        <w:t xml:space="preserve"> participated in the study</w:t>
      </w:r>
      <w:r w:rsidR="00E366C1" w:rsidRPr="006E48F2">
        <w:rPr>
          <w:rStyle w:val="jlqj4b"/>
          <w:rFonts w:asciiTheme="minorHAnsi" w:hAnsiTheme="minorHAnsi" w:cstheme="minorHAnsi"/>
          <w:lang w:val="en-US"/>
        </w:rPr>
        <w:t xml:space="preserve">. </w:t>
      </w:r>
      <w:r w:rsidR="0034564A" w:rsidRPr="00762DC9">
        <w:rPr>
          <w:rStyle w:val="jlqj4b"/>
          <w:rFonts w:asciiTheme="minorHAnsi" w:hAnsiTheme="minorHAnsi" w:cstheme="minorHAnsi"/>
          <w:lang w:val="en-US"/>
        </w:rPr>
        <w:t xml:space="preserve">Eleven participants </w:t>
      </w:r>
      <w:r w:rsidR="00467495" w:rsidRPr="00762DC9">
        <w:rPr>
          <w:rStyle w:val="jlqj4b"/>
          <w:rFonts w:asciiTheme="minorHAnsi" w:hAnsiTheme="minorHAnsi" w:cstheme="minorHAnsi"/>
          <w:lang w:val="en-US"/>
        </w:rPr>
        <w:t xml:space="preserve">have </w:t>
      </w:r>
      <w:r w:rsidR="00241461" w:rsidRPr="00762DC9">
        <w:rPr>
          <w:rStyle w:val="jlqj4b"/>
          <w:rFonts w:asciiTheme="minorHAnsi" w:hAnsiTheme="minorHAnsi" w:cstheme="minorHAnsi"/>
          <w:lang w:val="en-US"/>
        </w:rPr>
        <w:t>had SARS</w:t>
      </w:r>
      <w:r w:rsidR="0034564A" w:rsidRPr="00762DC9">
        <w:rPr>
          <w:rStyle w:val="jlqj4b"/>
          <w:rFonts w:asciiTheme="minorHAnsi" w:hAnsiTheme="minorHAnsi" w:cstheme="minorHAnsi"/>
          <w:lang w:val="en-US"/>
        </w:rPr>
        <w:t xml:space="preserve">-CoV-2 </w:t>
      </w:r>
      <w:r w:rsidR="00467495" w:rsidRPr="00762DC9">
        <w:rPr>
          <w:rStyle w:val="jlqj4b"/>
          <w:rFonts w:asciiTheme="minorHAnsi" w:hAnsiTheme="minorHAnsi" w:cstheme="minorHAnsi"/>
          <w:lang w:val="en-US"/>
        </w:rPr>
        <w:t xml:space="preserve">infection </w:t>
      </w:r>
      <w:r w:rsidR="006E74B2" w:rsidRPr="00762DC9">
        <w:rPr>
          <w:rStyle w:val="jlqj4b"/>
          <w:rFonts w:asciiTheme="minorHAnsi" w:hAnsiTheme="minorHAnsi" w:cstheme="minorHAnsi"/>
          <w:lang w:val="en-US"/>
        </w:rPr>
        <w:t>before the vaccination</w:t>
      </w:r>
      <w:r w:rsidR="006E74B2">
        <w:rPr>
          <w:rStyle w:val="jlqj4b"/>
          <w:rFonts w:asciiTheme="minorHAnsi" w:hAnsiTheme="minorHAnsi" w:cstheme="minorHAnsi"/>
          <w:lang w:val="en-US"/>
        </w:rPr>
        <w:t xml:space="preserve"> </w:t>
      </w:r>
      <w:r w:rsidR="0034564A" w:rsidRPr="00866956">
        <w:rPr>
          <w:rStyle w:val="jlqj4b"/>
          <w:rFonts w:asciiTheme="minorHAnsi" w:hAnsiTheme="minorHAnsi" w:cstheme="minorHAnsi"/>
          <w:lang w:val="en-US"/>
        </w:rPr>
        <w:t xml:space="preserve">(pre-exposed group). </w:t>
      </w:r>
      <w:r w:rsidR="00E366C1" w:rsidRPr="00866956">
        <w:rPr>
          <w:rStyle w:val="jlqj4b"/>
          <w:rFonts w:asciiTheme="minorHAnsi" w:hAnsiTheme="minorHAnsi" w:cstheme="minorHAnsi"/>
          <w:lang w:val="en-US"/>
        </w:rPr>
        <w:t xml:space="preserve">Three </w:t>
      </w:r>
      <w:r w:rsidR="00E366C1" w:rsidRPr="006E48F2">
        <w:rPr>
          <w:rStyle w:val="jlqj4b"/>
          <w:rFonts w:asciiTheme="minorHAnsi" w:hAnsiTheme="minorHAnsi" w:cstheme="minorHAnsi"/>
          <w:lang w:val="en-US"/>
        </w:rPr>
        <w:t>serum samples were collected from every participant</w:t>
      </w:r>
      <w:r w:rsidR="00762DC9">
        <w:rPr>
          <w:rStyle w:val="jlqj4b"/>
          <w:rFonts w:asciiTheme="minorHAnsi" w:hAnsiTheme="minorHAnsi" w:cstheme="minorHAnsi"/>
          <w:lang w:val="en-US"/>
        </w:rPr>
        <w:t xml:space="preserve"> at three time points</w:t>
      </w:r>
      <w:r w:rsidR="00E366C1" w:rsidRPr="006E48F2">
        <w:rPr>
          <w:rStyle w:val="jlqj4b"/>
          <w:rFonts w:asciiTheme="minorHAnsi" w:hAnsiTheme="minorHAnsi" w:cstheme="minorHAnsi"/>
          <w:lang w:val="en-US"/>
        </w:rPr>
        <w:t xml:space="preserve">: </w:t>
      </w:r>
      <w:r w:rsidR="00762DC9">
        <w:rPr>
          <w:rStyle w:val="jlqj4b"/>
          <w:rFonts w:asciiTheme="minorHAnsi" w:hAnsiTheme="minorHAnsi" w:cstheme="minorHAnsi"/>
          <w:lang w:val="en-US"/>
        </w:rPr>
        <w:t>on</w:t>
      </w:r>
      <w:r w:rsidR="00762DC9" w:rsidRPr="006E48F2">
        <w:rPr>
          <w:rStyle w:val="jlqj4b"/>
          <w:rFonts w:asciiTheme="minorHAnsi" w:hAnsiTheme="minorHAnsi" w:cstheme="minorHAnsi"/>
          <w:lang w:val="en-US"/>
        </w:rPr>
        <w:t xml:space="preserve"> </w:t>
      </w:r>
      <w:r w:rsidR="00E366C1" w:rsidRPr="006E48F2">
        <w:rPr>
          <w:rStyle w:val="jlqj4b"/>
          <w:rFonts w:asciiTheme="minorHAnsi" w:hAnsiTheme="minorHAnsi" w:cstheme="minorHAnsi"/>
          <w:lang w:val="en-US"/>
        </w:rPr>
        <w:t xml:space="preserve">the day of first dose, </w:t>
      </w:r>
      <w:r w:rsidR="00762DC9">
        <w:rPr>
          <w:rStyle w:val="jlqj4b"/>
          <w:rFonts w:asciiTheme="minorHAnsi" w:hAnsiTheme="minorHAnsi" w:cstheme="minorHAnsi"/>
          <w:lang w:val="en-US"/>
        </w:rPr>
        <w:t>on</w:t>
      </w:r>
      <w:r w:rsidR="00762DC9" w:rsidRPr="006E48F2">
        <w:rPr>
          <w:rStyle w:val="jlqj4b"/>
          <w:rFonts w:asciiTheme="minorHAnsi" w:hAnsiTheme="minorHAnsi" w:cstheme="minorHAnsi"/>
          <w:lang w:val="en-US"/>
        </w:rPr>
        <w:t xml:space="preserve"> </w:t>
      </w:r>
      <w:r w:rsidR="00E366C1" w:rsidRPr="006E48F2">
        <w:rPr>
          <w:rStyle w:val="jlqj4b"/>
          <w:rFonts w:asciiTheme="minorHAnsi" w:hAnsiTheme="minorHAnsi" w:cstheme="minorHAnsi"/>
          <w:lang w:val="en-US"/>
        </w:rPr>
        <w:t>the day of the second dose and 14 days after the second dose</w:t>
      </w:r>
      <w:r w:rsidR="00E366C1" w:rsidRPr="006E48F2">
        <w:rPr>
          <w:rFonts w:asciiTheme="minorHAnsi" w:hAnsiTheme="minorHAnsi" w:cstheme="minorHAnsi"/>
          <w:lang w:val="en-US"/>
        </w:rPr>
        <w:t>. All the serum samples were inactivated at 56ºC</w:t>
      </w:r>
      <w:r w:rsidR="006E74B2">
        <w:rPr>
          <w:rFonts w:asciiTheme="minorHAnsi" w:hAnsiTheme="minorHAnsi" w:cstheme="minorHAnsi"/>
          <w:lang w:val="en-US"/>
        </w:rPr>
        <w:t xml:space="preserve"> for</w:t>
      </w:r>
      <w:r w:rsidR="00E366C1" w:rsidRPr="006E48F2">
        <w:rPr>
          <w:rFonts w:asciiTheme="minorHAnsi" w:hAnsiTheme="minorHAnsi" w:cstheme="minorHAnsi"/>
          <w:lang w:val="en-US"/>
        </w:rPr>
        <w:t xml:space="preserve"> 30 min before use.</w:t>
      </w:r>
      <w:bookmarkStart w:id="2" w:name="_Hlk67815630"/>
    </w:p>
    <w:p w14:paraId="0858542D" w14:textId="410B9CAA" w:rsidR="005D3609" w:rsidRDefault="00E366C1" w:rsidP="005D3609">
      <w:pPr>
        <w:spacing w:line="480" w:lineRule="auto"/>
        <w:jc w:val="both"/>
        <w:rPr>
          <w:rFonts w:asciiTheme="minorHAnsi" w:hAnsiTheme="minorHAnsi" w:cstheme="minorHAnsi"/>
          <w:lang w:val="en-US"/>
        </w:rPr>
      </w:pPr>
      <w:r w:rsidRPr="006E48F2">
        <w:rPr>
          <w:rFonts w:asciiTheme="minorHAnsi" w:hAnsiTheme="minorHAnsi" w:cstheme="minorHAnsi"/>
          <w:b/>
          <w:bCs/>
          <w:lang w:val="en-US"/>
        </w:rPr>
        <w:t>Neutralization (NT) assay</w:t>
      </w:r>
    </w:p>
    <w:p w14:paraId="404B24DB" w14:textId="79CB53BC" w:rsidR="00E366C1" w:rsidRPr="006E48F2" w:rsidRDefault="00E366C1" w:rsidP="005D3609">
      <w:pPr>
        <w:spacing w:line="480" w:lineRule="auto"/>
        <w:ind w:firstLine="708"/>
        <w:jc w:val="both"/>
        <w:rPr>
          <w:rFonts w:asciiTheme="minorHAnsi" w:hAnsiTheme="minorHAnsi" w:cstheme="minorHAnsi"/>
          <w:lang w:val="en-US"/>
        </w:rPr>
      </w:pPr>
      <w:r w:rsidRPr="006E48F2">
        <w:rPr>
          <w:rFonts w:asciiTheme="minorHAnsi" w:hAnsiTheme="minorHAnsi" w:cstheme="minorHAnsi"/>
          <w:b/>
          <w:bCs/>
          <w:lang w:val="en-US"/>
        </w:rPr>
        <w:t>Viruses</w:t>
      </w:r>
      <w:r w:rsidRPr="006E48F2">
        <w:rPr>
          <w:rFonts w:asciiTheme="minorHAnsi" w:hAnsiTheme="minorHAnsi" w:cstheme="minorHAnsi"/>
          <w:lang w:val="en-US"/>
        </w:rPr>
        <w:t xml:space="preserve">: SARS-CoV-2 </w:t>
      </w:r>
      <w:bookmarkStart w:id="3" w:name="_Hlk66289005"/>
      <w:r w:rsidRPr="006E48F2">
        <w:rPr>
          <w:rFonts w:asciiTheme="minorHAnsi" w:hAnsiTheme="minorHAnsi" w:cstheme="minorHAnsi"/>
          <w:lang w:val="en-US"/>
        </w:rPr>
        <w:t>hCoV-19/Spain/MD-FISABIO-Vircell001/2020 lineage B.1</w:t>
      </w:r>
      <w:r w:rsidR="006F74EF">
        <w:rPr>
          <w:rFonts w:asciiTheme="minorHAnsi" w:hAnsiTheme="minorHAnsi" w:cstheme="minorHAnsi"/>
          <w:lang w:val="en-US"/>
        </w:rPr>
        <w:t xml:space="preserve">, </w:t>
      </w:r>
      <w:r w:rsidRPr="006E48F2">
        <w:rPr>
          <w:rFonts w:asciiTheme="minorHAnsi" w:hAnsiTheme="minorHAnsi" w:cstheme="minorHAnsi"/>
          <w:lang w:val="en-US"/>
        </w:rPr>
        <w:t>hCoV-19/Spain/AN-HUSC-24581802/2020 lineage B.1.1.7</w:t>
      </w:r>
      <w:r w:rsidR="006F74EF">
        <w:rPr>
          <w:rFonts w:asciiTheme="minorHAnsi" w:hAnsiTheme="minorHAnsi" w:cstheme="minorHAnsi"/>
          <w:lang w:val="en-US"/>
        </w:rPr>
        <w:t>,</w:t>
      </w:r>
      <w:r w:rsidRPr="006E48F2">
        <w:rPr>
          <w:rFonts w:asciiTheme="minorHAnsi" w:hAnsiTheme="minorHAnsi" w:cstheme="minorHAnsi"/>
          <w:lang w:val="en-US"/>
        </w:rPr>
        <w:t xml:space="preserve"> and hCoV-19/Spain/GA-CHUVI-19118872/2020 lineage B.1.351</w:t>
      </w:r>
      <w:r w:rsidR="006F74EF">
        <w:rPr>
          <w:rFonts w:asciiTheme="minorHAnsi" w:hAnsiTheme="minorHAnsi" w:cstheme="minorHAnsi"/>
          <w:lang w:val="en-US"/>
        </w:rPr>
        <w:t xml:space="preserve"> were used in this study.</w:t>
      </w:r>
    </w:p>
    <w:bookmarkEnd w:id="3"/>
    <w:p w14:paraId="1DD1B330" w14:textId="0322598B" w:rsidR="00E366C1" w:rsidRPr="006E48F2" w:rsidRDefault="00E366C1" w:rsidP="004D1E7B">
      <w:pPr>
        <w:spacing w:line="480" w:lineRule="auto"/>
        <w:ind w:firstLine="708"/>
        <w:jc w:val="both"/>
        <w:rPr>
          <w:rFonts w:asciiTheme="minorHAnsi" w:hAnsiTheme="minorHAnsi" w:cstheme="minorHAnsi"/>
          <w:lang w:val="en-US"/>
        </w:rPr>
      </w:pPr>
      <w:r w:rsidRPr="006E48F2">
        <w:rPr>
          <w:rFonts w:asciiTheme="minorHAnsi" w:hAnsiTheme="minorHAnsi" w:cstheme="minorHAnsi"/>
          <w:b/>
          <w:bCs/>
          <w:lang w:val="en-US"/>
        </w:rPr>
        <w:lastRenderedPageBreak/>
        <w:t>Cell line</w:t>
      </w:r>
      <w:r w:rsidRPr="006E48F2">
        <w:rPr>
          <w:rFonts w:asciiTheme="minorHAnsi" w:hAnsiTheme="minorHAnsi" w:cstheme="minorHAnsi"/>
          <w:lang w:val="en-US"/>
        </w:rPr>
        <w:t xml:space="preserve">: </w:t>
      </w:r>
      <w:r w:rsidR="0052389A" w:rsidRPr="0066063B">
        <w:rPr>
          <w:rFonts w:asciiTheme="minorHAnsi" w:hAnsiTheme="minorHAnsi" w:cstheme="minorHAnsi"/>
          <w:lang w:val="en-US" w:eastAsia="es-ES"/>
        </w:rPr>
        <w:t>Vero C1008 [Vero 76, clone E6, Vero E6] (ECACC 85020206)</w:t>
      </w:r>
      <w:r w:rsidR="0052389A" w:rsidRPr="006E48F2">
        <w:rPr>
          <w:rFonts w:asciiTheme="minorHAnsi" w:hAnsiTheme="minorHAnsi" w:cstheme="minorHAnsi"/>
          <w:lang w:val="en-US" w:eastAsia="es-ES"/>
        </w:rPr>
        <w:t xml:space="preserve"> </w:t>
      </w:r>
      <w:r w:rsidRPr="006E48F2">
        <w:rPr>
          <w:rFonts w:asciiTheme="minorHAnsi" w:hAnsiTheme="minorHAnsi" w:cstheme="minorHAnsi"/>
          <w:lang w:val="en-US" w:eastAsia="es-ES"/>
        </w:rPr>
        <w:t>cells were obtained from</w:t>
      </w:r>
      <w:r w:rsidR="0052389A">
        <w:rPr>
          <w:rFonts w:asciiTheme="minorHAnsi" w:hAnsiTheme="minorHAnsi" w:cstheme="minorHAnsi"/>
          <w:lang w:val="en-US" w:eastAsia="es-ES"/>
        </w:rPr>
        <w:t xml:space="preserve"> the </w:t>
      </w:r>
      <w:r w:rsidR="0052389A" w:rsidRPr="0052389A">
        <w:rPr>
          <w:rFonts w:asciiTheme="minorHAnsi" w:hAnsiTheme="minorHAnsi" w:cstheme="minorHAnsi"/>
          <w:lang w:val="en-US" w:eastAsia="es-ES"/>
        </w:rPr>
        <w:t xml:space="preserve">European Collection of Authenticated Cell Cultures </w:t>
      </w:r>
      <w:r w:rsidR="0052389A">
        <w:rPr>
          <w:rFonts w:asciiTheme="minorHAnsi" w:hAnsiTheme="minorHAnsi" w:cstheme="minorHAnsi"/>
          <w:lang w:val="en-US" w:eastAsia="es-ES"/>
        </w:rPr>
        <w:t>(</w:t>
      </w:r>
      <w:r w:rsidRPr="006E48F2">
        <w:rPr>
          <w:rFonts w:asciiTheme="minorHAnsi" w:hAnsiTheme="minorHAnsi" w:cstheme="minorHAnsi"/>
          <w:lang w:val="en-US" w:eastAsia="es-ES"/>
        </w:rPr>
        <w:t>E</w:t>
      </w:r>
      <w:r w:rsidR="0052389A">
        <w:rPr>
          <w:rFonts w:asciiTheme="minorHAnsi" w:hAnsiTheme="minorHAnsi" w:cstheme="minorHAnsi"/>
          <w:lang w:val="en-US" w:eastAsia="es-ES"/>
        </w:rPr>
        <w:t>C</w:t>
      </w:r>
      <w:r w:rsidRPr="006E48F2">
        <w:rPr>
          <w:rFonts w:asciiTheme="minorHAnsi" w:hAnsiTheme="minorHAnsi" w:cstheme="minorHAnsi"/>
          <w:lang w:val="en-US" w:eastAsia="es-ES"/>
        </w:rPr>
        <w:t>ACC</w:t>
      </w:r>
      <w:r w:rsidR="0052389A">
        <w:rPr>
          <w:rFonts w:asciiTheme="minorHAnsi" w:hAnsiTheme="minorHAnsi" w:cstheme="minorHAnsi"/>
          <w:lang w:val="en-US" w:eastAsia="es-ES"/>
        </w:rPr>
        <w:t xml:space="preserve">) </w:t>
      </w:r>
      <w:r w:rsidRPr="006E48F2">
        <w:rPr>
          <w:rFonts w:asciiTheme="minorHAnsi" w:hAnsiTheme="minorHAnsi" w:cstheme="minorHAnsi"/>
          <w:lang w:val="en-US" w:eastAsia="es-ES"/>
        </w:rPr>
        <w:t xml:space="preserve">and cultured in </w:t>
      </w:r>
      <w:r w:rsidRPr="006E48F2">
        <w:rPr>
          <w:rFonts w:asciiTheme="minorHAnsi" w:hAnsiTheme="minorHAnsi" w:cstheme="minorHAnsi"/>
          <w:lang w:val="en-US"/>
        </w:rPr>
        <w:t xml:space="preserve">MEM Eagle with Earle's BSS, with 25 mM HEPES, 2mM L-glutamine (LONZA, Verviers, Belgium), and 1x antibiotic-antimycotic mixture (GIGCO, NY, USA), supplemented with 10% </w:t>
      </w:r>
      <w:r w:rsidR="0066063B">
        <w:rPr>
          <w:rFonts w:asciiTheme="minorHAnsi" w:hAnsiTheme="minorHAnsi" w:cstheme="minorHAnsi"/>
          <w:lang w:val="en-US"/>
        </w:rPr>
        <w:t>fetal bovine serum (</w:t>
      </w:r>
      <w:r w:rsidRPr="006E48F2">
        <w:rPr>
          <w:rFonts w:asciiTheme="minorHAnsi" w:hAnsiTheme="minorHAnsi" w:cstheme="minorHAnsi"/>
          <w:lang w:val="en-US"/>
        </w:rPr>
        <w:t>FBS</w:t>
      </w:r>
      <w:r w:rsidR="0066063B">
        <w:rPr>
          <w:rFonts w:asciiTheme="minorHAnsi" w:hAnsiTheme="minorHAnsi" w:cstheme="minorHAnsi"/>
          <w:lang w:val="en-US"/>
        </w:rPr>
        <w:t>)</w:t>
      </w:r>
      <w:r w:rsidRPr="006E48F2">
        <w:rPr>
          <w:rFonts w:asciiTheme="minorHAnsi" w:hAnsiTheme="minorHAnsi" w:cstheme="minorHAnsi"/>
          <w:lang w:val="en-US"/>
        </w:rPr>
        <w:t xml:space="preserve"> (</w:t>
      </w:r>
      <w:proofErr w:type="spellStart"/>
      <w:r w:rsidRPr="006E48F2">
        <w:rPr>
          <w:rFonts w:asciiTheme="minorHAnsi" w:hAnsiTheme="minorHAnsi" w:cstheme="minorHAnsi"/>
          <w:lang w:val="en-US"/>
        </w:rPr>
        <w:t>BioWest</w:t>
      </w:r>
      <w:proofErr w:type="spellEnd"/>
      <w:r w:rsidRPr="006E48F2">
        <w:rPr>
          <w:rFonts w:asciiTheme="minorHAnsi" w:hAnsiTheme="minorHAnsi" w:cstheme="minorHAnsi"/>
          <w:lang w:val="en-US"/>
        </w:rPr>
        <w:t xml:space="preserve">, </w:t>
      </w:r>
      <w:proofErr w:type="spellStart"/>
      <w:r w:rsidRPr="006E48F2">
        <w:rPr>
          <w:rFonts w:asciiTheme="minorHAnsi" w:hAnsiTheme="minorHAnsi" w:cstheme="minorHAnsi"/>
          <w:lang w:val="en-US"/>
        </w:rPr>
        <w:t>Nuaillé</w:t>
      </w:r>
      <w:proofErr w:type="spellEnd"/>
      <w:r w:rsidRPr="006E48F2">
        <w:rPr>
          <w:rFonts w:asciiTheme="minorHAnsi" w:hAnsiTheme="minorHAnsi" w:cstheme="minorHAnsi"/>
          <w:lang w:val="en-US"/>
        </w:rPr>
        <w:t xml:space="preserve">, France). Vero E6 </w:t>
      </w:r>
      <w:r w:rsidR="004D1E7B" w:rsidRPr="006E48F2">
        <w:rPr>
          <w:rFonts w:asciiTheme="minorHAnsi" w:hAnsiTheme="minorHAnsi" w:cstheme="minorHAnsi"/>
          <w:lang w:val="en-US"/>
        </w:rPr>
        <w:t>cells were</w:t>
      </w:r>
      <w:r w:rsidRPr="006E48F2">
        <w:rPr>
          <w:rFonts w:asciiTheme="minorHAnsi" w:hAnsiTheme="minorHAnsi" w:cstheme="minorHAnsi"/>
          <w:lang w:val="en-US"/>
        </w:rPr>
        <w:t xml:space="preserve"> seeded 72 h before the infection </w:t>
      </w:r>
      <w:r w:rsidR="004D1E7B" w:rsidRPr="006E48F2">
        <w:rPr>
          <w:rFonts w:asciiTheme="minorHAnsi" w:hAnsiTheme="minorHAnsi" w:cstheme="minorHAnsi"/>
          <w:lang w:val="en-US"/>
        </w:rPr>
        <w:t>in 96</w:t>
      </w:r>
      <w:r w:rsidRPr="006E48F2">
        <w:rPr>
          <w:rFonts w:asciiTheme="minorHAnsi" w:hAnsiTheme="minorHAnsi" w:cstheme="minorHAnsi"/>
          <w:lang w:val="en-US"/>
        </w:rPr>
        <w:t xml:space="preserve">-well plates (Corning, Maine, USA). </w:t>
      </w:r>
    </w:p>
    <w:p w14:paraId="10D3F2CF" w14:textId="29000F2B" w:rsidR="00E366C1" w:rsidRPr="006E48F2" w:rsidRDefault="00E366C1" w:rsidP="004D1E7B">
      <w:pPr>
        <w:spacing w:line="480" w:lineRule="auto"/>
        <w:ind w:firstLine="708"/>
        <w:jc w:val="both"/>
        <w:rPr>
          <w:rFonts w:asciiTheme="minorHAnsi" w:hAnsiTheme="minorHAnsi" w:cstheme="minorHAnsi"/>
          <w:lang w:val="en-US"/>
        </w:rPr>
      </w:pPr>
      <w:r w:rsidRPr="006E48F2">
        <w:rPr>
          <w:rFonts w:asciiTheme="minorHAnsi" w:hAnsiTheme="minorHAnsi" w:cstheme="minorHAnsi"/>
          <w:b/>
          <w:bCs/>
          <w:lang w:val="en-US"/>
        </w:rPr>
        <w:t>Assay</w:t>
      </w:r>
      <w:r w:rsidRPr="006E48F2">
        <w:rPr>
          <w:rFonts w:asciiTheme="minorHAnsi" w:hAnsiTheme="minorHAnsi" w:cstheme="minorHAnsi"/>
          <w:lang w:val="en-US"/>
        </w:rPr>
        <w:t xml:space="preserve">:  Briefly, 70 µl of each serum was two-fold serially diluted in culture medium with 2% FBS, </w:t>
      </w:r>
      <w:r w:rsidR="00502F50">
        <w:rPr>
          <w:rFonts w:asciiTheme="minorHAnsi" w:hAnsiTheme="minorHAnsi" w:cstheme="minorHAnsi"/>
          <w:lang w:val="en-US"/>
        </w:rPr>
        <w:t>from</w:t>
      </w:r>
      <w:r w:rsidRPr="006E48F2">
        <w:rPr>
          <w:rFonts w:asciiTheme="minorHAnsi" w:hAnsiTheme="minorHAnsi" w:cstheme="minorHAnsi"/>
          <w:lang w:val="en-US"/>
        </w:rPr>
        <w:t xml:space="preserve"> 1:20 to 1:2560 dilution.</w:t>
      </w:r>
      <w:r w:rsidR="00502F50">
        <w:rPr>
          <w:rFonts w:asciiTheme="minorHAnsi" w:hAnsiTheme="minorHAnsi" w:cstheme="minorHAnsi"/>
          <w:lang w:val="en-US"/>
        </w:rPr>
        <w:t xml:space="preserve"> A total of</w:t>
      </w:r>
      <w:r w:rsidRPr="006E48F2">
        <w:rPr>
          <w:rFonts w:asciiTheme="minorHAnsi" w:hAnsiTheme="minorHAnsi" w:cstheme="minorHAnsi"/>
          <w:lang w:val="en-US"/>
        </w:rPr>
        <w:t xml:space="preserve"> 70 µl of cell culture medium containing 100 </w:t>
      </w:r>
      <w:r w:rsidR="00502F50">
        <w:rPr>
          <w:rFonts w:asciiTheme="minorHAnsi" w:hAnsiTheme="minorHAnsi" w:cstheme="minorHAnsi"/>
          <w:lang w:val="en-US"/>
        </w:rPr>
        <w:t>median tissue culture infectious dose (</w:t>
      </w:r>
      <w:r w:rsidRPr="006E48F2">
        <w:rPr>
          <w:rFonts w:asciiTheme="minorHAnsi" w:hAnsiTheme="minorHAnsi" w:cstheme="minorHAnsi"/>
          <w:lang w:val="en-US"/>
        </w:rPr>
        <w:t>TCDI</w:t>
      </w:r>
      <w:r w:rsidRPr="006E48F2">
        <w:rPr>
          <w:rFonts w:asciiTheme="minorHAnsi" w:hAnsiTheme="minorHAnsi" w:cstheme="minorHAnsi"/>
          <w:u w:val="single"/>
          <w:vertAlign w:val="subscript"/>
          <w:lang w:val="en-US"/>
        </w:rPr>
        <w:t>50</w:t>
      </w:r>
      <w:r w:rsidR="00502F50">
        <w:rPr>
          <w:rFonts w:asciiTheme="minorHAnsi" w:hAnsiTheme="minorHAnsi" w:cstheme="minorHAnsi"/>
          <w:u w:val="single"/>
          <w:lang w:val="en-US"/>
        </w:rPr>
        <w:t>)</w:t>
      </w:r>
      <w:r w:rsidRPr="006E48F2">
        <w:rPr>
          <w:rFonts w:asciiTheme="minorHAnsi" w:hAnsiTheme="minorHAnsi" w:cstheme="minorHAnsi"/>
          <w:vertAlign w:val="subscript"/>
          <w:lang w:val="en-US"/>
        </w:rPr>
        <w:t xml:space="preserve"> </w:t>
      </w:r>
      <w:r w:rsidRPr="006E48F2">
        <w:rPr>
          <w:rFonts w:asciiTheme="minorHAnsi" w:hAnsiTheme="minorHAnsi" w:cstheme="minorHAnsi"/>
          <w:lang w:val="en-US"/>
        </w:rPr>
        <w:t xml:space="preserve">of the virus was added to every well containing diluted serum. Plates were incubated at room temperature for 1 h and 100 µl of each mixture of serum dilution and virus were added to a Vero E6 plate well from which the culture medium had been previously removed. After </w:t>
      </w:r>
      <w:r w:rsidR="004D1E7B" w:rsidRPr="006E48F2">
        <w:rPr>
          <w:rFonts w:asciiTheme="minorHAnsi" w:hAnsiTheme="minorHAnsi" w:cstheme="minorHAnsi"/>
          <w:lang w:val="en-US"/>
        </w:rPr>
        <w:t>5-day</w:t>
      </w:r>
      <w:r w:rsidRPr="006E48F2">
        <w:rPr>
          <w:rFonts w:asciiTheme="minorHAnsi" w:hAnsiTheme="minorHAnsi" w:cstheme="minorHAnsi"/>
          <w:lang w:val="en-US"/>
        </w:rPr>
        <w:t xml:space="preserve"> incubation at 37ºC in 5% CO</w:t>
      </w:r>
      <w:r w:rsidRPr="006E48F2">
        <w:rPr>
          <w:rFonts w:asciiTheme="minorHAnsi" w:hAnsiTheme="minorHAnsi" w:cstheme="minorHAnsi"/>
          <w:vertAlign w:val="subscript"/>
          <w:lang w:val="en-US"/>
        </w:rPr>
        <w:t>2</w:t>
      </w:r>
      <w:r w:rsidRPr="006E48F2">
        <w:rPr>
          <w:rFonts w:asciiTheme="minorHAnsi" w:hAnsiTheme="minorHAnsi" w:cstheme="minorHAnsi"/>
          <w:lang w:val="en-US"/>
        </w:rPr>
        <w:t>, full cytopathic effect (CPE) was evaluated by microscopic examination. The highest serum dilution that completely inhibited the CPE was considered as the NT titer. Every serum sample was assayed in NT with the three strains: B.1, B.1.1.7 and B.1.351.</w:t>
      </w:r>
    </w:p>
    <w:p w14:paraId="57E2B0B5" w14:textId="134FD0E9" w:rsidR="004D1E7B" w:rsidRPr="000F0334" w:rsidRDefault="00025F83" w:rsidP="000F0334">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First WHO International Standard for anti-SARS-CoV-2 immunoglobulin (human), NIBSC code 20/136, was obtained from National Institute for Biological Standards and Control</w:t>
      </w:r>
      <w:r>
        <w:rPr>
          <w:rFonts w:asciiTheme="minorHAnsi" w:hAnsiTheme="minorHAnsi" w:cstheme="minorHAnsi"/>
          <w:lang w:val="en-US"/>
        </w:rPr>
        <w:t>.</w:t>
      </w:r>
    </w:p>
    <w:p w14:paraId="6E11BF50" w14:textId="4B2DC8EE" w:rsidR="004D1E7B" w:rsidRPr="00025F83" w:rsidRDefault="00E366C1" w:rsidP="006E48F2">
      <w:pPr>
        <w:spacing w:line="480" w:lineRule="auto"/>
        <w:jc w:val="both"/>
        <w:rPr>
          <w:rFonts w:asciiTheme="minorHAnsi" w:hAnsiTheme="minorHAnsi" w:cstheme="minorHAnsi"/>
          <w:b/>
          <w:lang w:val="en-US"/>
        </w:rPr>
      </w:pPr>
      <w:r w:rsidRPr="006E48F2">
        <w:rPr>
          <w:rFonts w:asciiTheme="minorHAnsi" w:hAnsiTheme="minorHAnsi" w:cstheme="minorHAnsi"/>
          <w:b/>
          <w:lang w:val="en-US"/>
        </w:rPr>
        <w:t>Statistical analysis</w:t>
      </w:r>
    </w:p>
    <w:p w14:paraId="26301AB6" w14:textId="3514D4AC" w:rsidR="00866956" w:rsidRPr="0066676B" w:rsidRDefault="00866956" w:rsidP="0066676B">
      <w:pPr>
        <w:spacing w:line="480" w:lineRule="auto"/>
        <w:ind w:firstLine="708"/>
        <w:jc w:val="both"/>
        <w:rPr>
          <w:rFonts w:asciiTheme="minorHAnsi" w:hAnsiTheme="minorHAnsi" w:cstheme="minorHAnsi"/>
          <w:color w:val="000000"/>
          <w:lang w:val="en-US"/>
        </w:rPr>
      </w:pPr>
      <w:r w:rsidRPr="00866956">
        <w:rPr>
          <w:rFonts w:asciiTheme="minorHAnsi" w:hAnsiTheme="minorHAnsi" w:cstheme="minorHAnsi"/>
          <w:color w:val="000000"/>
          <w:lang w:val="en-US"/>
        </w:rPr>
        <w:t xml:space="preserve">Normality of data was </w:t>
      </w:r>
      <w:r w:rsidR="000667FF">
        <w:rPr>
          <w:rFonts w:asciiTheme="minorHAnsi" w:hAnsiTheme="minorHAnsi" w:cstheme="minorHAnsi"/>
          <w:color w:val="000000"/>
          <w:lang w:val="en-US"/>
        </w:rPr>
        <w:t>compared</w:t>
      </w:r>
      <w:r w:rsidR="000667FF" w:rsidRPr="00866956">
        <w:rPr>
          <w:rFonts w:asciiTheme="minorHAnsi" w:hAnsiTheme="minorHAnsi" w:cstheme="minorHAnsi"/>
          <w:color w:val="000000"/>
          <w:lang w:val="en-US"/>
        </w:rPr>
        <w:t xml:space="preserve"> </w:t>
      </w:r>
      <w:r w:rsidR="00D95099">
        <w:rPr>
          <w:rFonts w:asciiTheme="minorHAnsi" w:hAnsiTheme="minorHAnsi" w:cstheme="minorHAnsi"/>
          <w:color w:val="000000"/>
          <w:lang w:val="en-US"/>
        </w:rPr>
        <w:t>using</w:t>
      </w:r>
      <w:r w:rsidR="00D95099" w:rsidRPr="00866956">
        <w:rPr>
          <w:rFonts w:asciiTheme="minorHAnsi" w:hAnsiTheme="minorHAnsi" w:cstheme="minorHAnsi"/>
          <w:color w:val="000000"/>
          <w:lang w:val="en-US"/>
        </w:rPr>
        <w:t xml:space="preserve"> </w:t>
      </w:r>
      <w:r w:rsidRPr="00866956">
        <w:rPr>
          <w:rFonts w:asciiTheme="minorHAnsi" w:hAnsiTheme="minorHAnsi" w:cstheme="minorHAnsi"/>
          <w:color w:val="000000"/>
          <w:lang w:val="en-US"/>
        </w:rPr>
        <w:t xml:space="preserve">a Shapiro-Wilk test. </w:t>
      </w:r>
      <w:r w:rsidR="00FC3105">
        <w:rPr>
          <w:rFonts w:asciiTheme="minorHAnsi" w:hAnsiTheme="minorHAnsi" w:cstheme="minorHAnsi"/>
          <w:color w:val="000000"/>
          <w:lang w:val="en-US"/>
        </w:rPr>
        <w:t>T</w:t>
      </w:r>
      <w:r w:rsidRPr="00866956">
        <w:rPr>
          <w:rFonts w:asciiTheme="minorHAnsi" w:hAnsiTheme="minorHAnsi" w:cstheme="minorHAnsi"/>
          <w:color w:val="000000"/>
          <w:lang w:val="en-US"/>
        </w:rPr>
        <w:t>he non-parametric Wilcoxon test or the Wilcoxon test for unpaired samples were used to compare data sets</w:t>
      </w:r>
      <w:r w:rsidR="00FC3105">
        <w:rPr>
          <w:rFonts w:asciiTheme="minorHAnsi" w:hAnsiTheme="minorHAnsi" w:cstheme="minorHAnsi"/>
          <w:color w:val="000000"/>
          <w:lang w:val="en-US"/>
        </w:rPr>
        <w:t xml:space="preserve"> because </w:t>
      </w:r>
      <w:r w:rsidR="00FC3105" w:rsidRPr="00866956">
        <w:rPr>
          <w:rFonts w:asciiTheme="minorHAnsi" w:hAnsiTheme="minorHAnsi" w:cstheme="minorHAnsi"/>
          <w:color w:val="000000"/>
          <w:lang w:val="en-US"/>
        </w:rPr>
        <w:t>the data were not normally distributed</w:t>
      </w:r>
      <w:r w:rsidRPr="00866956">
        <w:rPr>
          <w:rFonts w:asciiTheme="minorHAnsi" w:hAnsiTheme="minorHAnsi" w:cstheme="minorHAnsi"/>
          <w:color w:val="000000"/>
          <w:lang w:val="en-US"/>
        </w:rPr>
        <w:t xml:space="preserve">. Analysis was conducted in R (R </w:t>
      </w:r>
      <w:r w:rsidRPr="00866956">
        <w:rPr>
          <w:rFonts w:asciiTheme="minorHAnsi" w:hAnsiTheme="minorHAnsi" w:cstheme="minorHAnsi"/>
          <w:color w:val="000000"/>
          <w:lang w:val="en-US"/>
        </w:rPr>
        <w:lastRenderedPageBreak/>
        <w:t>Core Team, 2020)</w:t>
      </w:r>
      <w:r>
        <w:rPr>
          <w:rFonts w:asciiTheme="minorHAnsi" w:hAnsiTheme="minorHAnsi" w:cstheme="minorHAnsi"/>
          <w:vertAlign w:val="superscript"/>
          <w:lang w:val="en-US"/>
        </w:rPr>
        <w:t>13</w:t>
      </w:r>
      <w:r>
        <w:rPr>
          <w:rFonts w:asciiTheme="minorHAnsi" w:hAnsiTheme="minorHAnsi" w:cstheme="minorHAnsi"/>
          <w:color w:val="000000"/>
          <w:lang w:val="en-US"/>
        </w:rPr>
        <w:t xml:space="preserve">. </w:t>
      </w:r>
      <w:r w:rsidRPr="00866956">
        <w:rPr>
          <w:rFonts w:asciiTheme="minorHAnsi" w:hAnsiTheme="minorHAnsi" w:cstheme="minorHAnsi"/>
          <w:color w:val="000000"/>
          <w:lang w:val="en-US"/>
        </w:rPr>
        <w:t xml:space="preserve">For graphical representation, titers were transformed </w:t>
      </w:r>
      <w:r w:rsidR="00FC3105">
        <w:rPr>
          <w:rFonts w:asciiTheme="minorHAnsi" w:hAnsiTheme="minorHAnsi" w:cstheme="minorHAnsi"/>
          <w:color w:val="000000"/>
          <w:lang w:val="en-US"/>
        </w:rPr>
        <w:t>to</w:t>
      </w:r>
      <w:r w:rsidR="00FC3105" w:rsidRPr="00866956">
        <w:rPr>
          <w:rFonts w:asciiTheme="minorHAnsi" w:hAnsiTheme="minorHAnsi" w:cstheme="minorHAnsi"/>
          <w:color w:val="000000"/>
          <w:lang w:val="en-US"/>
        </w:rPr>
        <w:t xml:space="preserve"> </w:t>
      </w:r>
      <w:r w:rsidRPr="00866956">
        <w:rPr>
          <w:rFonts w:asciiTheme="minorHAnsi" w:hAnsiTheme="minorHAnsi" w:cstheme="minorHAnsi"/>
          <w:color w:val="000000"/>
          <w:lang w:val="en-US"/>
        </w:rPr>
        <w:t>log2(1/(titer/10)) with titers &lt;1/20 been assigned to 0 and titers ≥1/2560 to 8.</w:t>
      </w:r>
    </w:p>
    <w:p w14:paraId="3F26713E" w14:textId="77777777" w:rsidR="005B3DAB" w:rsidRDefault="005B3DAB" w:rsidP="006E48F2">
      <w:pPr>
        <w:spacing w:line="480" w:lineRule="auto"/>
        <w:jc w:val="both"/>
        <w:rPr>
          <w:rFonts w:asciiTheme="minorHAnsi" w:hAnsiTheme="minorHAnsi" w:cstheme="minorHAnsi"/>
          <w:b/>
          <w:bCs/>
          <w:lang w:val="en-US"/>
        </w:rPr>
      </w:pPr>
    </w:p>
    <w:p w14:paraId="2B7AB2C4" w14:textId="0C385B65" w:rsidR="004D1E7B" w:rsidRPr="00025F83" w:rsidRDefault="004D1E7B" w:rsidP="00025F83">
      <w:pPr>
        <w:spacing w:line="480" w:lineRule="auto"/>
        <w:jc w:val="both"/>
        <w:rPr>
          <w:rFonts w:asciiTheme="minorHAnsi" w:hAnsiTheme="minorHAnsi" w:cstheme="minorHAnsi"/>
          <w:lang w:val="en-US"/>
        </w:rPr>
      </w:pPr>
    </w:p>
    <w:bookmarkEnd w:id="2"/>
    <w:p w14:paraId="7D2C6991" w14:textId="6DEE8B5A" w:rsidR="00E366C1" w:rsidRPr="006E48F2" w:rsidRDefault="00E366C1" w:rsidP="00E6520A">
      <w:pPr>
        <w:spacing w:line="480" w:lineRule="auto"/>
        <w:rPr>
          <w:rFonts w:asciiTheme="minorHAnsi" w:hAnsiTheme="minorHAnsi" w:cstheme="minorHAnsi"/>
          <w:b/>
          <w:bCs/>
          <w:color w:val="000000"/>
          <w:lang w:val="en-US"/>
        </w:rPr>
      </w:pPr>
      <w:r w:rsidRPr="006E48F2">
        <w:rPr>
          <w:rFonts w:asciiTheme="minorHAnsi" w:hAnsiTheme="minorHAnsi" w:cstheme="minorHAnsi"/>
          <w:b/>
          <w:bCs/>
          <w:color w:val="000000"/>
          <w:lang w:val="en-US"/>
        </w:rPr>
        <w:t>R</w:t>
      </w:r>
      <w:r w:rsidR="000F0334">
        <w:rPr>
          <w:rFonts w:asciiTheme="minorHAnsi" w:hAnsiTheme="minorHAnsi" w:cstheme="minorHAnsi"/>
          <w:b/>
          <w:bCs/>
          <w:color w:val="000000"/>
          <w:lang w:val="en-US"/>
        </w:rPr>
        <w:t>ESULTS</w:t>
      </w:r>
    </w:p>
    <w:p w14:paraId="445F47E4" w14:textId="2E107F04" w:rsidR="004D1E7B" w:rsidRPr="006E48F2" w:rsidRDefault="00E366C1" w:rsidP="00E6520A">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 xml:space="preserve">High </w:t>
      </w:r>
      <w:r w:rsidR="00FD2C1D">
        <w:rPr>
          <w:rFonts w:asciiTheme="minorHAnsi" w:hAnsiTheme="minorHAnsi" w:cstheme="minorHAnsi"/>
          <w:lang w:val="en-US"/>
        </w:rPr>
        <w:t>n</w:t>
      </w:r>
      <w:r w:rsidR="00FD2C1D" w:rsidRPr="006E48F2">
        <w:rPr>
          <w:rFonts w:asciiTheme="minorHAnsi" w:hAnsiTheme="minorHAnsi" w:cstheme="minorHAnsi"/>
          <w:lang w:val="en-US"/>
        </w:rPr>
        <w:t xml:space="preserve">eutralization titers against the B.1 variant </w:t>
      </w:r>
      <w:r w:rsidRPr="006E48F2">
        <w:rPr>
          <w:rFonts w:asciiTheme="minorHAnsi" w:hAnsiTheme="minorHAnsi" w:cstheme="minorHAnsi"/>
          <w:lang w:val="en-US"/>
        </w:rPr>
        <w:t xml:space="preserve">were attained after the second dose </w:t>
      </w:r>
      <w:r w:rsidR="00FD2C1D">
        <w:rPr>
          <w:rFonts w:asciiTheme="minorHAnsi" w:hAnsiTheme="minorHAnsi" w:cstheme="minorHAnsi"/>
          <w:lang w:val="en-US"/>
        </w:rPr>
        <w:t>for all study participants</w:t>
      </w:r>
      <w:r w:rsidRPr="006E48F2">
        <w:rPr>
          <w:rFonts w:asciiTheme="minorHAnsi" w:hAnsiTheme="minorHAnsi" w:cstheme="minorHAnsi"/>
          <w:lang w:val="en-US"/>
        </w:rPr>
        <w:t xml:space="preserve">: the </w:t>
      </w:r>
      <w:r w:rsidR="006F74EF" w:rsidRPr="006E48F2">
        <w:rPr>
          <w:rFonts w:asciiTheme="minorHAnsi" w:hAnsiTheme="minorHAnsi" w:cstheme="minorHAnsi"/>
          <w:lang w:val="en-US"/>
        </w:rPr>
        <w:t xml:space="preserve">geometric mean titer </w:t>
      </w:r>
      <w:r w:rsidR="006F74EF">
        <w:rPr>
          <w:rFonts w:asciiTheme="minorHAnsi" w:hAnsiTheme="minorHAnsi" w:cstheme="minorHAnsi"/>
          <w:lang w:val="en-US"/>
        </w:rPr>
        <w:t>(</w:t>
      </w:r>
      <w:r w:rsidRPr="006E48F2">
        <w:rPr>
          <w:rFonts w:asciiTheme="minorHAnsi" w:hAnsiTheme="minorHAnsi" w:cstheme="minorHAnsi"/>
          <w:lang w:val="en-US"/>
        </w:rPr>
        <w:t>GMT) was 1/38 after the first dose and rose to 1/731 two weeks after the second dose. Vaccinated individuals with a previous history of infection</w:t>
      </w:r>
      <w:r w:rsidR="00FC3105">
        <w:rPr>
          <w:rFonts w:asciiTheme="minorHAnsi" w:hAnsiTheme="minorHAnsi" w:cstheme="minorHAnsi"/>
          <w:lang w:val="en-US"/>
        </w:rPr>
        <w:t>,</w:t>
      </w:r>
      <w:r w:rsidRPr="006E48F2">
        <w:rPr>
          <w:rFonts w:asciiTheme="minorHAnsi" w:hAnsiTheme="minorHAnsi" w:cstheme="minorHAnsi"/>
          <w:lang w:val="en-US"/>
        </w:rPr>
        <w:t xml:space="preserve"> as shown by a past positive PCR result</w:t>
      </w:r>
      <w:r w:rsidR="000667FF">
        <w:rPr>
          <w:rFonts w:asciiTheme="minorHAnsi" w:hAnsiTheme="minorHAnsi" w:cstheme="minorHAnsi"/>
          <w:lang w:val="en-US"/>
        </w:rPr>
        <w:t xml:space="preserve"> for SARS-CoV-2</w:t>
      </w:r>
      <w:r w:rsidR="006F74EF">
        <w:rPr>
          <w:rFonts w:asciiTheme="minorHAnsi" w:hAnsiTheme="minorHAnsi" w:cstheme="minorHAnsi"/>
          <w:lang w:val="en-US"/>
        </w:rPr>
        <w:t xml:space="preserve">, </w:t>
      </w:r>
      <w:r w:rsidRPr="006E48F2">
        <w:rPr>
          <w:rFonts w:asciiTheme="minorHAnsi" w:hAnsiTheme="minorHAnsi" w:cstheme="minorHAnsi"/>
          <w:lang w:val="en-US"/>
        </w:rPr>
        <w:t xml:space="preserve">showed higher titers than </w:t>
      </w:r>
      <w:r w:rsidR="004D1E7B" w:rsidRPr="006E48F2">
        <w:rPr>
          <w:rFonts w:asciiTheme="minorHAnsi" w:hAnsiTheme="minorHAnsi" w:cstheme="minorHAnsi"/>
          <w:lang w:val="en-US"/>
        </w:rPr>
        <w:t>non-pre-</w:t>
      </w:r>
      <w:r w:rsidRPr="006E48F2">
        <w:rPr>
          <w:rFonts w:asciiTheme="minorHAnsi" w:hAnsiTheme="minorHAnsi" w:cstheme="minorHAnsi"/>
          <w:lang w:val="en-US"/>
        </w:rPr>
        <w:t>exposed individuals after the first (GMT of 1/387 versus 1/28,</w:t>
      </w:r>
      <w:r w:rsidR="000667FF">
        <w:rPr>
          <w:rFonts w:asciiTheme="minorHAnsi" w:hAnsiTheme="minorHAnsi" w:cstheme="minorHAnsi"/>
          <w:lang w:val="en-US"/>
        </w:rPr>
        <w:t xml:space="preserve"> respectively,</w:t>
      </w:r>
      <w:r w:rsidRPr="006E48F2">
        <w:rPr>
          <w:rFonts w:asciiTheme="minorHAnsi" w:hAnsiTheme="minorHAnsi" w:cstheme="minorHAnsi"/>
          <w:lang w:val="en-US"/>
        </w:rPr>
        <w:t xml:space="preserve"> table 1) and the second dose</w:t>
      </w:r>
      <w:r w:rsidR="005C1673">
        <w:rPr>
          <w:rFonts w:asciiTheme="minorHAnsi" w:hAnsiTheme="minorHAnsi" w:cstheme="minorHAnsi"/>
          <w:lang w:val="en-US"/>
        </w:rPr>
        <w:t>s</w:t>
      </w:r>
      <w:r w:rsidRPr="006E48F2">
        <w:rPr>
          <w:rFonts w:asciiTheme="minorHAnsi" w:hAnsiTheme="minorHAnsi" w:cstheme="minorHAnsi"/>
          <w:lang w:val="en-US"/>
        </w:rPr>
        <w:t xml:space="preserve"> (1/995 versus 1/703</w:t>
      </w:r>
      <w:r w:rsidR="000667FF">
        <w:rPr>
          <w:rFonts w:asciiTheme="minorHAnsi" w:hAnsiTheme="minorHAnsi" w:cstheme="minorHAnsi"/>
          <w:lang w:val="en-US"/>
        </w:rPr>
        <w:t>, respectively</w:t>
      </w:r>
      <w:r w:rsidRPr="006E48F2">
        <w:rPr>
          <w:rFonts w:asciiTheme="minorHAnsi" w:hAnsiTheme="minorHAnsi" w:cstheme="minorHAnsi"/>
          <w:lang w:val="en-US"/>
        </w:rPr>
        <w:t>). As high as 72% of the pre-exposed vaccinees presented titers &gt;1/80 with a single vaccine dose, while only 11% of non-exposed vaccinated individuals had analogous titers (table 1).</w:t>
      </w:r>
    </w:p>
    <w:p w14:paraId="65A0C1FD" w14:textId="784C2950" w:rsidR="00744908" w:rsidRPr="006E48F2" w:rsidRDefault="00E366C1" w:rsidP="00FD2C1D">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 xml:space="preserve">Titers against the three variants are </w:t>
      </w:r>
      <w:r w:rsidR="000667FF">
        <w:rPr>
          <w:rFonts w:asciiTheme="minorHAnsi" w:hAnsiTheme="minorHAnsi" w:cstheme="minorHAnsi"/>
          <w:lang w:val="en-US"/>
        </w:rPr>
        <w:t>re</w:t>
      </w:r>
      <w:r w:rsidRPr="006E48F2">
        <w:rPr>
          <w:rFonts w:asciiTheme="minorHAnsi" w:hAnsiTheme="minorHAnsi" w:cstheme="minorHAnsi"/>
          <w:lang w:val="en-US"/>
        </w:rPr>
        <w:t xml:space="preserve">presented in figure </w:t>
      </w:r>
      <w:r w:rsidR="00C37845">
        <w:rPr>
          <w:rFonts w:asciiTheme="minorHAnsi" w:hAnsiTheme="minorHAnsi" w:cstheme="minorHAnsi"/>
          <w:lang w:val="en-US"/>
        </w:rPr>
        <w:t>1</w:t>
      </w:r>
      <w:r w:rsidRPr="006E48F2">
        <w:rPr>
          <w:rFonts w:asciiTheme="minorHAnsi" w:hAnsiTheme="minorHAnsi" w:cstheme="minorHAnsi"/>
          <w:lang w:val="en-US"/>
        </w:rPr>
        <w:t xml:space="preserve"> for pre-exposed vaccinated patients </w:t>
      </w:r>
      <w:r w:rsidR="00A91E3D">
        <w:rPr>
          <w:rFonts w:asciiTheme="minorHAnsi" w:hAnsiTheme="minorHAnsi" w:cstheme="minorHAnsi"/>
          <w:lang w:val="en-US"/>
        </w:rPr>
        <w:t>and</w:t>
      </w:r>
      <w:r w:rsidRPr="006E48F2">
        <w:rPr>
          <w:rFonts w:asciiTheme="minorHAnsi" w:hAnsiTheme="minorHAnsi" w:cstheme="minorHAnsi"/>
          <w:lang w:val="en-US"/>
        </w:rPr>
        <w:t xml:space="preserve"> non-pre-exposed vaccinated individuals. NT titers against </w:t>
      </w:r>
      <w:bookmarkStart w:id="4" w:name="_Hlk68545306"/>
      <w:r w:rsidRPr="006E48F2">
        <w:rPr>
          <w:rFonts w:asciiTheme="minorHAnsi" w:hAnsiTheme="minorHAnsi" w:cstheme="minorHAnsi"/>
          <w:lang w:val="en-US"/>
        </w:rPr>
        <w:t xml:space="preserve">B.1 </w:t>
      </w:r>
      <w:r w:rsidRPr="00A939E0">
        <w:rPr>
          <w:rFonts w:asciiTheme="minorHAnsi" w:hAnsiTheme="minorHAnsi" w:cstheme="minorHAnsi"/>
          <w:color w:val="000000" w:themeColor="text1"/>
          <w:lang w:val="en-US"/>
        </w:rPr>
        <w:t>and</w:t>
      </w:r>
      <w:r w:rsidRPr="006E48F2">
        <w:rPr>
          <w:rFonts w:asciiTheme="minorHAnsi" w:hAnsiTheme="minorHAnsi" w:cstheme="minorHAnsi"/>
          <w:lang w:val="en-US"/>
        </w:rPr>
        <w:t xml:space="preserve"> the B.1.1.7 variant </w:t>
      </w:r>
      <w:bookmarkEnd w:id="4"/>
      <w:r w:rsidR="005C1673">
        <w:rPr>
          <w:rFonts w:asciiTheme="minorHAnsi" w:hAnsiTheme="minorHAnsi" w:cstheme="minorHAnsi"/>
          <w:lang w:val="en-US"/>
        </w:rPr>
        <w:t>showed no</w:t>
      </w:r>
      <w:r w:rsidRPr="006E48F2">
        <w:rPr>
          <w:rFonts w:asciiTheme="minorHAnsi" w:hAnsiTheme="minorHAnsi" w:cstheme="minorHAnsi"/>
          <w:lang w:val="en-US"/>
        </w:rPr>
        <w:t xml:space="preserve"> statistically significant differences </w:t>
      </w:r>
      <w:r w:rsidR="005C1673">
        <w:rPr>
          <w:rFonts w:asciiTheme="minorHAnsi" w:hAnsiTheme="minorHAnsi" w:cstheme="minorHAnsi"/>
          <w:lang w:val="en-US"/>
        </w:rPr>
        <w:t>in</w:t>
      </w:r>
      <w:r w:rsidR="005C1673" w:rsidRPr="006E48F2">
        <w:rPr>
          <w:rFonts w:asciiTheme="minorHAnsi" w:hAnsiTheme="minorHAnsi" w:cstheme="minorHAnsi"/>
          <w:lang w:val="en-US"/>
        </w:rPr>
        <w:t xml:space="preserve"> </w:t>
      </w:r>
      <w:r w:rsidRPr="006E48F2">
        <w:rPr>
          <w:rFonts w:asciiTheme="minorHAnsi" w:hAnsiTheme="minorHAnsi" w:cstheme="minorHAnsi"/>
          <w:lang w:val="en-US"/>
        </w:rPr>
        <w:t xml:space="preserve">the Wilcoxon test. NT titers against B.1 and B.1.1.7 were significantly higher than titers against the B.1.351 variant in all the studied groups (pre-exposed and </w:t>
      </w:r>
      <w:r w:rsidR="004D1E7B" w:rsidRPr="006E48F2">
        <w:rPr>
          <w:rFonts w:asciiTheme="minorHAnsi" w:hAnsiTheme="minorHAnsi" w:cstheme="minorHAnsi"/>
          <w:lang w:val="en-US"/>
        </w:rPr>
        <w:t>non-pre-</w:t>
      </w:r>
      <w:r w:rsidRPr="006E48F2">
        <w:rPr>
          <w:rFonts w:asciiTheme="minorHAnsi" w:hAnsiTheme="minorHAnsi" w:cstheme="minorHAnsi"/>
          <w:lang w:val="en-US"/>
        </w:rPr>
        <w:t xml:space="preserve">exposed vaccinated individuals, </w:t>
      </w:r>
      <w:r w:rsidRPr="006E48F2">
        <w:rPr>
          <w:rFonts w:asciiTheme="minorHAnsi" w:hAnsiTheme="minorHAnsi" w:cstheme="minorHAnsi"/>
          <w:i/>
          <w:lang w:val="en-US"/>
        </w:rPr>
        <w:t>p</w:t>
      </w:r>
      <w:r w:rsidRPr="006E48F2">
        <w:rPr>
          <w:rFonts w:asciiTheme="minorHAnsi" w:hAnsiTheme="minorHAnsi" w:cstheme="minorHAnsi"/>
          <w:lang w:val="en-US"/>
        </w:rPr>
        <w:t xml:space="preserve">&lt;0.01). While all vaccinated individuals presented neutralizing antibodies against B.1 after the second dose (43% with titers &gt;1/620), 14% were negative against the B.1.351 variant, and 76% only had titers 1/20-1/80. </w:t>
      </w:r>
    </w:p>
    <w:p w14:paraId="35E158E6" w14:textId="47A4F340" w:rsidR="00E366C1" w:rsidRPr="006E48F2" w:rsidRDefault="00E366C1" w:rsidP="00744908">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 xml:space="preserve">The </w:t>
      </w:r>
      <w:r w:rsidR="007B19E7">
        <w:rPr>
          <w:rFonts w:asciiTheme="minorHAnsi" w:hAnsiTheme="minorHAnsi" w:cstheme="minorHAnsi"/>
          <w:lang w:val="en-US"/>
        </w:rPr>
        <w:t xml:space="preserve">change </w:t>
      </w:r>
      <w:r w:rsidRPr="006E48F2">
        <w:rPr>
          <w:rFonts w:asciiTheme="minorHAnsi" w:hAnsiTheme="minorHAnsi" w:cstheme="minorHAnsi"/>
          <w:lang w:val="en-US"/>
        </w:rPr>
        <w:t>between NT titers against B.1 and</w:t>
      </w:r>
      <w:r w:rsidR="00A939E0">
        <w:rPr>
          <w:rFonts w:asciiTheme="minorHAnsi" w:hAnsiTheme="minorHAnsi" w:cstheme="minorHAnsi"/>
          <w:lang w:val="en-US"/>
        </w:rPr>
        <w:t xml:space="preserve"> </w:t>
      </w:r>
      <w:r w:rsidRPr="006E48F2">
        <w:rPr>
          <w:rFonts w:asciiTheme="minorHAnsi" w:hAnsiTheme="minorHAnsi" w:cstheme="minorHAnsi"/>
          <w:lang w:val="en-US"/>
        </w:rPr>
        <w:t xml:space="preserve">B.1.531 after the second dose </w:t>
      </w:r>
      <w:r w:rsidR="005C1673">
        <w:rPr>
          <w:rFonts w:asciiTheme="minorHAnsi" w:hAnsiTheme="minorHAnsi" w:cstheme="minorHAnsi"/>
          <w:lang w:val="en-US"/>
        </w:rPr>
        <w:t xml:space="preserve">compared to after the first dose </w:t>
      </w:r>
      <w:r w:rsidRPr="006E48F2">
        <w:rPr>
          <w:rFonts w:asciiTheme="minorHAnsi" w:hAnsiTheme="minorHAnsi" w:cstheme="minorHAnsi"/>
          <w:lang w:val="en-US"/>
        </w:rPr>
        <w:t xml:space="preserve">was lower in the pre-exposed vaccinated individuals </w:t>
      </w:r>
      <w:r w:rsidRPr="006E48F2">
        <w:rPr>
          <w:rFonts w:asciiTheme="minorHAnsi" w:hAnsiTheme="minorHAnsi" w:cstheme="minorHAnsi"/>
          <w:lang w:val="en-US"/>
        </w:rPr>
        <w:lastRenderedPageBreak/>
        <w:t xml:space="preserve">(about 3-titer) than in the </w:t>
      </w:r>
      <w:r w:rsidR="004D1E7B" w:rsidRPr="006E48F2">
        <w:rPr>
          <w:rFonts w:asciiTheme="minorHAnsi" w:hAnsiTheme="minorHAnsi" w:cstheme="minorHAnsi"/>
          <w:lang w:val="en-US"/>
        </w:rPr>
        <w:t>non-pre-</w:t>
      </w:r>
      <w:r w:rsidRPr="006E48F2">
        <w:rPr>
          <w:rFonts w:asciiTheme="minorHAnsi" w:hAnsiTheme="minorHAnsi" w:cstheme="minorHAnsi"/>
          <w:lang w:val="en-US"/>
        </w:rPr>
        <w:t>exposed vaccinees (almost 5-titer drop) as shown in table 1. This difference was statistically significant (</w:t>
      </w:r>
      <w:r w:rsidRPr="006E48F2">
        <w:rPr>
          <w:rFonts w:asciiTheme="minorHAnsi" w:hAnsiTheme="minorHAnsi" w:cstheme="minorHAnsi"/>
          <w:i/>
          <w:lang w:val="en-US"/>
        </w:rPr>
        <w:t>p</w:t>
      </w:r>
      <w:r w:rsidRPr="006E48F2">
        <w:rPr>
          <w:rFonts w:asciiTheme="minorHAnsi" w:hAnsiTheme="minorHAnsi" w:cstheme="minorHAnsi"/>
          <w:lang w:val="en-US"/>
        </w:rPr>
        <w:t>&lt;0.01) in a Wilcoxon test for unpaired samples despite the low number of pre-exposed vaccinated individuals in the study. More than half of the pre-exposed vaccinated individuals had neutralizing titers &gt;1/80 while only 3% of the non-exposed vaccinees had titers &gt; 1/80 and only 13% were positive.</w:t>
      </w:r>
    </w:p>
    <w:p w14:paraId="211C322B" w14:textId="0AE38FAD" w:rsidR="00E366C1" w:rsidRDefault="00E366C1" w:rsidP="00FD2C1D">
      <w:pPr>
        <w:spacing w:line="480" w:lineRule="auto"/>
        <w:ind w:firstLine="708"/>
        <w:jc w:val="both"/>
        <w:rPr>
          <w:rFonts w:asciiTheme="minorHAnsi" w:hAnsiTheme="minorHAnsi" w:cstheme="minorHAnsi"/>
          <w:lang w:val="en-US"/>
        </w:rPr>
      </w:pPr>
      <w:r w:rsidRPr="006E48F2">
        <w:rPr>
          <w:rFonts w:asciiTheme="minorHAnsi" w:hAnsiTheme="minorHAnsi" w:cstheme="minorHAnsi"/>
          <w:lang w:val="en-US"/>
        </w:rPr>
        <w:t>The WHO 1st International Standard for SARS-CoV-2 antibodies was assayed in the CPE-neutralization test used in the study for comparative purposes with other studies</w:t>
      </w:r>
      <w:r w:rsidR="0036203F">
        <w:rPr>
          <w:rFonts w:asciiTheme="minorHAnsi" w:hAnsiTheme="minorHAnsi" w:cstheme="minorHAnsi"/>
          <w:lang w:val="en-US"/>
        </w:rPr>
        <w:t xml:space="preserve">. </w:t>
      </w:r>
      <w:r w:rsidRPr="006E48F2">
        <w:rPr>
          <w:rFonts w:asciiTheme="minorHAnsi" w:hAnsiTheme="minorHAnsi" w:cstheme="minorHAnsi"/>
          <w:lang w:val="en-US"/>
        </w:rPr>
        <w:t>Titers of 1/640, 1/1280 and 1/160 were obtained for the B.1, the B.1.1.7 and the B.1.351 variants</w:t>
      </w:r>
      <w:r w:rsidR="009E5C8C">
        <w:rPr>
          <w:rFonts w:asciiTheme="minorHAnsi" w:hAnsiTheme="minorHAnsi" w:cstheme="minorHAnsi"/>
          <w:lang w:val="en-US"/>
        </w:rPr>
        <w:t>,</w:t>
      </w:r>
      <w:r w:rsidRPr="006E48F2">
        <w:rPr>
          <w:rFonts w:asciiTheme="minorHAnsi" w:hAnsiTheme="minorHAnsi" w:cstheme="minorHAnsi"/>
          <w:lang w:val="en-US"/>
        </w:rPr>
        <w:t xml:space="preserve"> respectively.</w:t>
      </w:r>
    </w:p>
    <w:p w14:paraId="596F67FD" w14:textId="77777777" w:rsidR="00FD2C1D" w:rsidRPr="006E48F2" w:rsidRDefault="00FD2C1D" w:rsidP="00FD2C1D">
      <w:pPr>
        <w:spacing w:line="480" w:lineRule="auto"/>
        <w:jc w:val="both"/>
        <w:rPr>
          <w:rFonts w:asciiTheme="minorHAnsi" w:hAnsiTheme="minorHAnsi" w:cstheme="minorHAnsi"/>
          <w:lang w:val="en-US"/>
        </w:rPr>
      </w:pPr>
    </w:p>
    <w:p w14:paraId="5A22BE7A" w14:textId="0020306E" w:rsidR="00FD2C1D" w:rsidRPr="006E48F2" w:rsidRDefault="000F0334" w:rsidP="00FD2C1D">
      <w:pPr>
        <w:autoSpaceDE w:val="0"/>
        <w:autoSpaceDN w:val="0"/>
        <w:adjustRightInd w:val="0"/>
        <w:spacing w:line="480" w:lineRule="auto"/>
        <w:jc w:val="both"/>
        <w:rPr>
          <w:rFonts w:asciiTheme="minorHAnsi" w:hAnsiTheme="minorHAnsi" w:cstheme="minorHAnsi"/>
          <w:b/>
          <w:bCs/>
          <w:color w:val="000000"/>
          <w:lang w:val="en-US"/>
        </w:rPr>
      </w:pPr>
      <w:r>
        <w:rPr>
          <w:rFonts w:asciiTheme="minorHAnsi" w:hAnsiTheme="minorHAnsi" w:cstheme="minorHAnsi"/>
          <w:b/>
          <w:bCs/>
          <w:color w:val="000000"/>
          <w:lang w:val="en-US"/>
        </w:rPr>
        <w:t>DISCUSSION</w:t>
      </w:r>
    </w:p>
    <w:p w14:paraId="41F2DEF4" w14:textId="59BA5190" w:rsidR="00FD2C1D" w:rsidRPr="001F2659" w:rsidRDefault="00FD2C1D" w:rsidP="001F2659">
      <w:pPr>
        <w:autoSpaceDE w:val="0"/>
        <w:autoSpaceDN w:val="0"/>
        <w:adjustRightInd w:val="0"/>
        <w:spacing w:line="480" w:lineRule="auto"/>
        <w:ind w:firstLine="708"/>
        <w:jc w:val="both"/>
        <w:rPr>
          <w:rFonts w:asciiTheme="minorHAnsi" w:hAnsiTheme="minorHAnsi" w:cstheme="minorHAnsi"/>
          <w:lang w:val="en-US"/>
        </w:rPr>
      </w:pPr>
      <w:r w:rsidRPr="006E48F2">
        <w:rPr>
          <w:rFonts w:asciiTheme="minorHAnsi" w:hAnsiTheme="minorHAnsi" w:cstheme="minorHAnsi"/>
          <w:color w:val="000000"/>
          <w:lang w:val="en-US"/>
        </w:rPr>
        <w:t>SARS</w:t>
      </w:r>
      <w:r w:rsidR="00E6520A">
        <w:rPr>
          <w:rFonts w:asciiTheme="minorHAnsi" w:hAnsiTheme="minorHAnsi" w:cstheme="minorHAnsi"/>
          <w:color w:val="000000"/>
          <w:lang w:val="en-US"/>
        </w:rPr>
        <w:t>-</w:t>
      </w:r>
      <w:r w:rsidRPr="006E48F2">
        <w:rPr>
          <w:rFonts w:asciiTheme="minorHAnsi" w:hAnsiTheme="minorHAnsi" w:cstheme="minorHAnsi"/>
          <w:color w:val="000000"/>
          <w:lang w:val="en-US"/>
        </w:rPr>
        <w:t>CoV</w:t>
      </w:r>
      <w:r w:rsidR="00E6520A">
        <w:rPr>
          <w:rFonts w:asciiTheme="minorHAnsi" w:hAnsiTheme="minorHAnsi" w:cstheme="minorHAnsi"/>
          <w:color w:val="000000"/>
          <w:lang w:val="en-US"/>
        </w:rPr>
        <w:t>-</w:t>
      </w:r>
      <w:r w:rsidRPr="006E48F2">
        <w:rPr>
          <w:rFonts w:asciiTheme="minorHAnsi" w:hAnsiTheme="minorHAnsi" w:cstheme="minorHAnsi"/>
          <w:color w:val="000000"/>
          <w:lang w:val="en-US"/>
        </w:rPr>
        <w:t>2 varia</w:t>
      </w:r>
      <w:r w:rsidRPr="00740EB4">
        <w:rPr>
          <w:rFonts w:asciiTheme="minorHAnsi" w:hAnsiTheme="minorHAnsi" w:cstheme="minorHAnsi"/>
          <w:color w:val="000000"/>
          <w:lang w:val="en-US"/>
        </w:rPr>
        <w:t>tion</w:t>
      </w:r>
      <w:r w:rsidRPr="006E48F2">
        <w:rPr>
          <w:rFonts w:asciiTheme="minorHAnsi" w:hAnsiTheme="minorHAnsi" w:cstheme="minorHAnsi"/>
          <w:color w:val="000000"/>
          <w:lang w:val="en-US"/>
        </w:rPr>
        <w:t xml:space="preserve"> </w:t>
      </w:r>
      <w:r w:rsidR="00241461">
        <w:rPr>
          <w:rFonts w:asciiTheme="minorHAnsi" w:hAnsiTheme="minorHAnsi" w:cstheme="minorHAnsi"/>
          <w:color w:val="000000"/>
          <w:lang w:val="en-US"/>
        </w:rPr>
        <w:t xml:space="preserve">may </w:t>
      </w:r>
      <w:r w:rsidRPr="006E48F2">
        <w:rPr>
          <w:rFonts w:asciiTheme="minorHAnsi" w:hAnsiTheme="minorHAnsi" w:cstheme="minorHAnsi"/>
          <w:color w:val="000000"/>
          <w:lang w:val="en-US"/>
        </w:rPr>
        <w:t xml:space="preserve">represent a serious challenge </w:t>
      </w:r>
      <w:r w:rsidRPr="00740EB4">
        <w:rPr>
          <w:rFonts w:asciiTheme="minorHAnsi" w:hAnsiTheme="minorHAnsi" w:cstheme="minorHAnsi"/>
          <w:color w:val="000000"/>
          <w:lang w:val="en-US"/>
        </w:rPr>
        <w:t>to</w:t>
      </w:r>
      <w:r w:rsidRPr="006E48F2">
        <w:rPr>
          <w:rFonts w:asciiTheme="minorHAnsi" w:hAnsiTheme="minorHAnsi" w:cstheme="minorHAnsi"/>
          <w:color w:val="000000"/>
          <w:lang w:val="en-US"/>
        </w:rPr>
        <w:t xml:space="preserve"> current COVID</w:t>
      </w:r>
      <w:r w:rsidR="009E5C8C">
        <w:rPr>
          <w:rFonts w:asciiTheme="minorHAnsi" w:hAnsiTheme="minorHAnsi" w:cstheme="minorHAnsi"/>
          <w:color w:val="000000"/>
          <w:lang w:val="en-US"/>
        </w:rPr>
        <w:t>-</w:t>
      </w:r>
      <w:r w:rsidRPr="006E48F2">
        <w:rPr>
          <w:rFonts w:asciiTheme="minorHAnsi" w:hAnsiTheme="minorHAnsi" w:cstheme="minorHAnsi"/>
          <w:color w:val="000000"/>
          <w:lang w:val="en-US"/>
        </w:rPr>
        <w:t xml:space="preserve">19 vaccines. Recent reports suggest that B.1.351 and P1/P2 variants may escape the </w:t>
      </w:r>
      <w:r w:rsidR="008905D9">
        <w:rPr>
          <w:rFonts w:asciiTheme="minorHAnsi" w:hAnsiTheme="minorHAnsi" w:cstheme="minorHAnsi"/>
          <w:color w:val="000000"/>
          <w:lang w:val="en-US"/>
        </w:rPr>
        <w:t>neutralizing</w:t>
      </w:r>
      <w:r w:rsidRPr="006E48F2">
        <w:rPr>
          <w:rFonts w:asciiTheme="minorHAnsi" w:hAnsiTheme="minorHAnsi" w:cstheme="minorHAnsi"/>
          <w:color w:val="000000"/>
          <w:lang w:val="en-US"/>
        </w:rPr>
        <w:t xml:space="preserve"> activity of the antibodies generated by both </w:t>
      </w:r>
      <w:r w:rsidRPr="006E48F2">
        <w:rPr>
          <w:rFonts w:asciiTheme="minorHAnsi" w:hAnsiTheme="minorHAnsi" w:cstheme="minorHAnsi"/>
          <w:lang w:val="en-US"/>
        </w:rPr>
        <w:t xml:space="preserve">BNT162b2 mRNA and mRNA-1273 vaccines. </w:t>
      </w:r>
      <w:r w:rsidRPr="006E48F2">
        <w:rPr>
          <w:rFonts w:asciiTheme="minorHAnsi" w:hAnsiTheme="minorHAnsi" w:cstheme="minorHAnsi"/>
          <w:color w:val="000000"/>
          <w:lang w:val="en-US"/>
        </w:rPr>
        <w:t>In our study</w:t>
      </w:r>
      <w:r w:rsidR="00740EB4">
        <w:rPr>
          <w:rFonts w:asciiTheme="minorHAnsi" w:hAnsiTheme="minorHAnsi" w:cstheme="minorHAnsi"/>
          <w:color w:val="000000"/>
          <w:lang w:val="en-US"/>
        </w:rPr>
        <w:t>,</w:t>
      </w:r>
      <w:r w:rsidRPr="006E48F2">
        <w:rPr>
          <w:rFonts w:asciiTheme="minorHAnsi" w:hAnsiTheme="minorHAnsi" w:cstheme="minorHAnsi"/>
          <w:color w:val="000000"/>
          <w:lang w:val="en-US"/>
        </w:rPr>
        <w:t xml:space="preserve"> we </w:t>
      </w:r>
      <w:r w:rsidR="009E5C8C">
        <w:rPr>
          <w:rFonts w:asciiTheme="minorHAnsi" w:hAnsiTheme="minorHAnsi" w:cstheme="minorHAnsi"/>
          <w:color w:val="000000"/>
          <w:lang w:val="en-US"/>
        </w:rPr>
        <w:t>recruited</w:t>
      </w:r>
      <w:r w:rsidR="009E5C8C" w:rsidRPr="006E48F2">
        <w:rPr>
          <w:rFonts w:asciiTheme="minorHAnsi" w:hAnsiTheme="minorHAnsi" w:cstheme="minorHAnsi"/>
          <w:color w:val="000000"/>
          <w:lang w:val="en-US"/>
        </w:rPr>
        <w:t xml:space="preserve"> </w:t>
      </w:r>
      <w:r w:rsidRPr="006E48F2">
        <w:rPr>
          <w:rFonts w:asciiTheme="minorHAnsi" w:hAnsiTheme="minorHAnsi" w:cstheme="minorHAnsi"/>
          <w:color w:val="000000" w:themeColor="text1"/>
          <w:lang w:val="en-US"/>
        </w:rPr>
        <w:t>9</w:t>
      </w:r>
      <w:r>
        <w:rPr>
          <w:rFonts w:asciiTheme="minorHAnsi" w:hAnsiTheme="minorHAnsi" w:cstheme="minorHAnsi"/>
          <w:color w:val="000000" w:themeColor="text1"/>
          <w:lang w:val="en-US"/>
        </w:rPr>
        <w:t>9</w:t>
      </w:r>
      <w:r w:rsidRPr="006E48F2">
        <w:rPr>
          <w:rFonts w:asciiTheme="minorHAnsi" w:hAnsiTheme="minorHAnsi" w:cstheme="minorHAnsi"/>
          <w:color w:val="000000" w:themeColor="text1"/>
          <w:lang w:val="en-US"/>
        </w:rPr>
        <w:t xml:space="preserve"> </w:t>
      </w:r>
      <w:r w:rsidRPr="006E48F2">
        <w:rPr>
          <w:rFonts w:asciiTheme="minorHAnsi" w:hAnsiTheme="minorHAnsi" w:cstheme="minorHAnsi"/>
          <w:color w:val="000000"/>
          <w:lang w:val="en-US"/>
        </w:rPr>
        <w:t>participants under</w:t>
      </w:r>
      <w:r w:rsidR="0011621E">
        <w:rPr>
          <w:rFonts w:asciiTheme="minorHAnsi" w:hAnsiTheme="minorHAnsi" w:cstheme="minorHAnsi"/>
          <w:color w:val="000000"/>
          <w:lang w:val="en-US"/>
        </w:rPr>
        <w:t xml:space="preserve">taking two doses </w:t>
      </w:r>
      <w:r w:rsidRPr="006E48F2">
        <w:rPr>
          <w:rFonts w:asciiTheme="minorHAnsi" w:hAnsiTheme="minorHAnsi" w:cstheme="minorHAnsi"/>
          <w:color w:val="000000"/>
          <w:lang w:val="en-US"/>
        </w:rPr>
        <w:t xml:space="preserve">of </w:t>
      </w:r>
      <w:r w:rsidRPr="006E48F2">
        <w:rPr>
          <w:rFonts w:asciiTheme="minorHAnsi" w:hAnsiTheme="minorHAnsi" w:cstheme="minorHAnsi"/>
          <w:lang w:val="en-US"/>
        </w:rPr>
        <w:t>BNT162b2 mRNA vaccination; participants were sampled at baseline, on the day they received the second dose, and 14 days after</w:t>
      </w:r>
      <w:r w:rsidR="009E5C8C">
        <w:rPr>
          <w:rFonts w:asciiTheme="minorHAnsi" w:hAnsiTheme="minorHAnsi" w:cstheme="minorHAnsi"/>
          <w:lang w:val="en-US"/>
        </w:rPr>
        <w:t xml:space="preserve"> the second dose</w:t>
      </w:r>
      <w:r w:rsidRPr="006E48F2">
        <w:rPr>
          <w:rFonts w:asciiTheme="minorHAnsi" w:hAnsiTheme="minorHAnsi" w:cstheme="minorHAnsi"/>
          <w:lang w:val="en-US"/>
        </w:rPr>
        <w:t xml:space="preserve">. Eleven participants had </w:t>
      </w:r>
      <w:r w:rsidR="0011621E">
        <w:rPr>
          <w:rFonts w:asciiTheme="minorHAnsi" w:hAnsiTheme="minorHAnsi" w:cstheme="minorHAnsi"/>
          <w:lang w:val="en-US"/>
        </w:rPr>
        <w:t>prior infection with</w:t>
      </w:r>
      <w:r w:rsidRPr="006E48F2">
        <w:rPr>
          <w:rFonts w:asciiTheme="minorHAnsi" w:hAnsiTheme="minorHAnsi" w:cstheme="minorHAnsi"/>
          <w:lang w:val="en-US"/>
        </w:rPr>
        <w:t xml:space="preserve"> SARS</w:t>
      </w:r>
      <w:r w:rsidR="001F2659">
        <w:rPr>
          <w:rFonts w:asciiTheme="minorHAnsi" w:hAnsiTheme="minorHAnsi" w:cstheme="minorHAnsi"/>
          <w:lang w:val="en-US"/>
        </w:rPr>
        <w:t>-</w:t>
      </w:r>
      <w:r w:rsidRPr="006E48F2">
        <w:rPr>
          <w:rFonts w:asciiTheme="minorHAnsi" w:hAnsiTheme="minorHAnsi" w:cstheme="minorHAnsi"/>
          <w:lang w:val="en-US"/>
        </w:rPr>
        <w:t>C</w:t>
      </w:r>
      <w:r w:rsidR="001F2659">
        <w:rPr>
          <w:rFonts w:asciiTheme="minorHAnsi" w:hAnsiTheme="minorHAnsi" w:cstheme="minorHAnsi"/>
          <w:lang w:val="en-US"/>
        </w:rPr>
        <w:t>oV-</w:t>
      </w:r>
      <w:r w:rsidRPr="006E48F2">
        <w:rPr>
          <w:rFonts w:asciiTheme="minorHAnsi" w:hAnsiTheme="minorHAnsi" w:cstheme="minorHAnsi"/>
          <w:lang w:val="en-US"/>
        </w:rPr>
        <w:t>2. Here we show that BNT162b2 mRNA</w:t>
      </w:r>
      <w:r w:rsidR="009E5C8C">
        <w:rPr>
          <w:rFonts w:asciiTheme="minorHAnsi" w:hAnsiTheme="minorHAnsi" w:cstheme="minorHAnsi"/>
          <w:lang w:val="en-US"/>
        </w:rPr>
        <w:t>-</w:t>
      </w:r>
      <w:r w:rsidRPr="006E48F2">
        <w:rPr>
          <w:rFonts w:asciiTheme="minorHAnsi" w:hAnsiTheme="minorHAnsi" w:cstheme="minorHAnsi"/>
          <w:lang w:val="en-US"/>
        </w:rPr>
        <w:t xml:space="preserve">induced antibodies show a </w:t>
      </w:r>
      <w:r w:rsidR="009E5C8C">
        <w:rPr>
          <w:rFonts w:asciiTheme="minorHAnsi" w:hAnsiTheme="minorHAnsi" w:cstheme="minorHAnsi"/>
          <w:lang w:val="en-US"/>
        </w:rPr>
        <w:t>lower</w:t>
      </w:r>
      <w:r w:rsidR="009E5C8C" w:rsidRPr="006E48F2">
        <w:rPr>
          <w:rFonts w:asciiTheme="minorHAnsi" w:hAnsiTheme="minorHAnsi" w:cstheme="minorHAnsi"/>
          <w:lang w:val="en-US"/>
        </w:rPr>
        <w:t xml:space="preserve"> </w:t>
      </w:r>
      <w:r w:rsidRPr="006E48F2">
        <w:rPr>
          <w:rFonts w:asciiTheme="minorHAnsi" w:hAnsiTheme="minorHAnsi" w:cstheme="minorHAnsi"/>
          <w:lang w:val="en-US"/>
        </w:rPr>
        <w:t xml:space="preserve">in vitro </w:t>
      </w:r>
      <w:r w:rsidR="008905D9">
        <w:rPr>
          <w:rFonts w:asciiTheme="minorHAnsi" w:hAnsiTheme="minorHAnsi" w:cstheme="minorHAnsi"/>
          <w:color w:val="000000" w:themeColor="text1"/>
          <w:lang w:val="en-US"/>
        </w:rPr>
        <w:t>neutralizing</w:t>
      </w:r>
      <w:r w:rsidRPr="00DC790E">
        <w:rPr>
          <w:rFonts w:asciiTheme="minorHAnsi" w:hAnsiTheme="minorHAnsi" w:cstheme="minorHAnsi"/>
          <w:color w:val="000000" w:themeColor="text1"/>
          <w:lang w:val="en-US"/>
        </w:rPr>
        <w:t xml:space="preserve"> activity against B.1.351 variant</w:t>
      </w:r>
      <w:r w:rsidR="009E5C8C">
        <w:rPr>
          <w:rFonts w:asciiTheme="minorHAnsi" w:hAnsiTheme="minorHAnsi" w:cstheme="minorHAnsi"/>
          <w:color w:val="000000" w:themeColor="text1"/>
          <w:lang w:val="en-US"/>
        </w:rPr>
        <w:t xml:space="preserve"> </w:t>
      </w:r>
      <w:r w:rsidRPr="00DC790E">
        <w:rPr>
          <w:rFonts w:asciiTheme="minorHAnsi" w:hAnsiTheme="minorHAnsi" w:cstheme="minorHAnsi"/>
          <w:color w:val="000000" w:themeColor="text1"/>
          <w:lang w:val="en-US"/>
        </w:rPr>
        <w:t>compared to neutralization against B.1.1.7 or B.1</w:t>
      </w:r>
      <w:r w:rsidR="009E5C8C">
        <w:rPr>
          <w:rFonts w:asciiTheme="minorHAnsi" w:hAnsiTheme="minorHAnsi" w:cstheme="minorHAnsi"/>
          <w:color w:val="000000" w:themeColor="text1"/>
          <w:lang w:val="en-US"/>
        </w:rPr>
        <w:t xml:space="preserve"> variants</w:t>
      </w:r>
      <w:r w:rsidRPr="006E48F2">
        <w:rPr>
          <w:rFonts w:asciiTheme="minorHAnsi" w:hAnsiTheme="minorHAnsi" w:cstheme="minorHAnsi"/>
          <w:color w:val="000000"/>
          <w:lang w:val="en-US"/>
        </w:rPr>
        <w:t xml:space="preserve">. Interestingly, we also show that for </w:t>
      </w:r>
      <w:r w:rsidR="009E5C8C">
        <w:rPr>
          <w:rFonts w:asciiTheme="minorHAnsi" w:hAnsiTheme="minorHAnsi" w:cstheme="minorHAnsi"/>
          <w:color w:val="000000"/>
          <w:lang w:val="en-US"/>
        </w:rPr>
        <w:t>individuals pre-exposed to SARS-CoV-2</w:t>
      </w:r>
      <w:r w:rsidRPr="006E48F2">
        <w:rPr>
          <w:rFonts w:asciiTheme="minorHAnsi" w:hAnsiTheme="minorHAnsi" w:cstheme="minorHAnsi"/>
          <w:color w:val="000000"/>
          <w:lang w:val="en-US"/>
        </w:rPr>
        <w:t xml:space="preserve">, one dose of </w:t>
      </w:r>
      <w:r w:rsidRPr="006E48F2">
        <w:rPr>
          <w:rFonts w:asciiTheme="minorHAnsi" w:hAnsiTheme="minorHAnsi" w:cstheme="minorHAnsi"/>
          <w:lang w:val="en-US"/>
        </w:rPr>
        <w:t xml:space="preserve">BNT162b2 mRNA may be adequate to produce </w:t>
      </w:r>
      <w:r w:rsidR="008905D9">
        <w:rPr>
          <w:rFonts w:asciiTheme="minorHAnsi" w:hAnsiTheme="minorHAnsi" w:cstheme="minorHAnsi"/>
          <w:lang w:val="en-US"/>
        </w:rPr>
        <w:t>neutralizing</w:t>
      </w:r>
      <w:r w:rsidRPr="006E48F2">
        <w:rPr>
          <w:rFonts w:asciiTheme="minorHAnsi" w:hAnsiTheme="minorHAnsi" w:cstheme="minorHAnsi"/>
          <w:lang w:val="en-US"/>
        </w:rPr>
        <w:t xml:space="preserve"> antibodies for B.1.1.7 and </w:t>
      </w:r>
      <w:r>
        <w:rPr>
          <w:rFonts w:asciiTheme="minorHAnsi" w:hAnsiTheme="minorHAnsi" w:cstheme="minorHAnsi"/>
          <w:color w:val="000000" w:themeColor="text1"/>
          <w:lang w:val="en-US"/>
        </w:rPr>
        <w:t>B.1</w:t>
      </w:r>
      <w:r w:rsidRPr="006E48F2">
        <w:rPr>
          <w:rFonts w:asciiTheme="minorHAnsi" w:hAnsiTheme="minorHAnsi" w:cstheme="minorHAnsi"/>
          <w:lang w:val="en-US"/>
        </w:rPr>
        <w:t xml:space="preserve">, </w:t>
      </w:r>
      <w:r w:rsidR="009E5C8C">
        <w:rPr>
          <w:rFonts w:asciiTheme="minorHAnsi" w:hAnsiTheme="minorHAnsi" w:cstheme="minorHAnsi"/>
          <w:lang w:val="en-US"/>
        </w:rPr>
        <w:t>while two doses of</w:t>
      </w:r>
      <w:r w:rsidRPr="006E48F2">
        <w:rPr>
          <w:rFonts w:asciiTheme="minorHAnsi" w:hAnsiTheme="minorHAnsi" w:cstheme="minorHAnsi"/>
          <w:color w:val="000000"/>
          <w:lang w:val="en-US"/>
        </w:rPr>
        <w:t xml:space="preserve"> </w:t>
      </w:r>
      <w:r w:rsidRPr="006E48F2">
        <w:rPr>
          <w:rFonts w:asciiTheme="minorHAnsi" w:hAnsiTheme="minorHAnsi" w:cstheme="minorHAnsi"/>
          <w:lang w:val="en-US"/>
        </w:rPr>
        <w:t xml:space="preserve">BNT162b2 mRNA provide </w:t>
      </w:r>
      <w:r w:rsidRPr="006E48F2">
        <w:rPr>
          <w:rFonts w:asciiTheme="minorHAnsi" w:hAnsiTheme="minorHAnsi" w:cstheme="minorHAnsi"/>
          <w:color w:val="000000"/>
          <w:lang w:val="en-US"/>
        </w:rPr>
        <w:t xml:space="preserve">optimal </w:t>
      </w:r>
      <w:r w:rsidR="008905D9">
        <w:rPr>
          <w:rFonts w:asciiTheme="minorHAnsi" w:hAnsiTheme="minorHAnsi" w:cstheme="minorHAnsi"/>
          <w:color w:val="000000"/>
          <w:lang w:val="en-US"/>
        </w:rPr>
        <w:t>neutralizing</w:t>
      </w:r>
      <w:r w:rsidRPr="006E48F2">
        <w:rPr>
          <w:rFonts w:asciiTheme="minorHAnsi" w:hAnsiTheme="minorHAnsi" w:cstheme="minorHAnsi"/>
          <w:color w:val="000000"/>
          <w:lang w:val="en-US"/>
        </w:rPr>
        <w:t xml:space="preserve"> antibody response for B.1.351</w:t>
      </w:r>
      <w:r w:rsidR="009E5C8C">
        <w:rPr>
          <w:rFonts w:asciiTheme="minorHAnsi" w:hAnsiTheme="minorHAnsi" w:cstheme="minorHAnsi"/>
          <w:color w:val="000000"/>
          <w:lang w:val="en-US"/>
        </w:rPr>
        <w:t xml:space="preserve"> too</w:t>
      </w:r>
      <w:r w:rsidRPr="006E48F2">
        <w:rPr>
          <w:rFonts w:asciiTheme="minorHAnsi" w:hAnsiTheme="minorHAnsi" w:cstheme="minorHAnsi"/>
          <w:color w:val="000000"/>
          <w:lang w:val="en-US"/>
        </w:rPr>
        <w:t xml:space="preserve">. </w:t>
      </w:r>
    </w:p>
    <w:p w14:paraId="26DA07AF" w14:textId="6A96FF17" w:rsidR="0083086E" w:rsidRPr="00C445B0" w:rsidRDefault="00FD2C1D" w:rsidP="00C445B0">
      <w:pPr>
        <w:autoSpaceDE w:val="0"/>
        <w:autoSpaceDN w:val="0"/>
        <w:adjustRightInd w:val="0"/>
        <w:spacing w:line="480" w:lineRule="auto"/>
        <w:ind w:firstLine="708"/>
        <w:jc w:val="both"/>
        <w:rPr>
          <w:rFonts w:asciiTheme="minorHAnsi" w:eastAsiaTheme="minorHAnsi" w:hAnsiTheme="minorHAnsi" w:cstheme="minorHAnsi"/>
          <w:lang w:val="en-US" w:eastAsia="en-US"/>
        </w:rPr>
      </w:pPr>
      <w:r w:rsidRPr="006E48F2">
        <w:rPr>
          <w:rFonts w:asciiTheme="minorHAnsi" w:hAnsiTheme="minorHAnsi" w:cstheme="minorHAnsi"/>
          <w:lang w:val="en-US"/>
        </w:rPr>
        <w:lastRenderedPageBreak/>
        <w:t xml:space="preserve">The percentage of participants that achieved neutralizing antibodies </w:t>
      </w:r>
      <w:r w:rsidR="001F2659">
        <w:rPr>
          <w:rFonts w:asciiTheme="minorHAnsi" w:hAnsiTheme="minorHAnsi" w:cstheme="minorHAnsi"/>
          <w:lang w:val="en-US"/>
        </w:rPr>
        <w:t xml:space="preserve">titers 1/20-1/80 </w:t>
      </w:r>
      <w:r w:rsidRPr="006E48F2">
        <w:rPr>
          <w:rFonts w:asciiTheme="minorHAnsi" w:hAnsiTheme="minorHAnsi" w:cstheme="minorHAnsi"/>
          <w:lang w:val="en-US"/>
        </w:rPr>
        <w:t xml:space="preserve">and also the </w:t>
      </w:r>
      <w:r w:rsidRPr="00DC790E">
        <w:rPr>
          <w:rFonts w:asciiTheme="minorHAnsi" w:hAnsiTheme="minorHAnsi" w:cstheme="minorHAnsi"/>
          <w:color w:val="000000" w:themeColor="text1"/>
          <w:lang w:val="en-US"/>
        </w:rPr>
        <w:t>me</w:t>
      </w:r>
      <w:r>
        <w:rPr>
          <w:rFonts w:asciiTheme="minorHAnsi" w:hAnsiTheme="minorHAnsi" w:cstheme="minorHAnsi"/>
          <w:color w:val="000000" w:themeColor="text1"/>
          <w:lang w:val="en-US"/>
        </w:rPr>
        <w:t>an</w:t>
      </w:r>
      <w:r w:rsidRPr="00DC790E">
        <w:rPr>
          <w:rFonts w:asciiTheme="minorHAnsi" w:hAnsiTheme="minorHAnsi" w:cstheme="minorHAnsi"/>
          <w:color w:val="000000" w:themeColor="text1"/>
          <w:lang w:val="en-US"/>
        </w:rPr>
        <w:t xml:space="preserve"> titer </w:t>
      </w:r>
      <w:r w:rsidRPr="006E48F2">
        <w:rPr>
          <w:rFonts w:asciiTheme="minorHAnsi" w:hAnsiTheme="minorHAnsi" w:cstheme="minorHAnsi"/>
          <w:lang w:val="en-US"/>
        </w:rPr>
        <w:t>was significantly higher at the time of receiving the second dose of BNT162b2 mRNA, across all the three SARS</w:t>
      </w:r>
      <w:r w:rsidR="009F7C48">
        <w:rPr>
          <w:rFonts w:asciiTheme="minorHAnsi" w:hAnsiTheme="minorHAnsi" w:cstheme="minorHAnsi"/>
          <w:lang w:val="en-US"/>
        </w:rPr>
        <w:t>-</w:t>
      </w:r>
      <w:r w:rsidRPr="006E48F2">
        <w:rPr>
          <w:rFonts w:asciiTheme="minorHAnsi" w:hAnsiTheme="minorHAnsi" w:cstheme="minorHAnsi"/>
          <w:lang w:val="en-US"/>
        </w:rPr>
        <w:t>CoV</w:t>
      </w:r>
      <w:r w:rsidR="009F7C48">
        <w:rPr>
          <w:rFonts w:asciiTheme="minorHAnsi" w:hAnsiTheme="minorHAnsi" w:cstheme="minorHAnsi"/>
          <w:lang w:val="en-US"/>
        </w:rPr>
        <w:t>-</w:t>
      </w:r>
      <w:r w:rsidRPr="006E48F2">
        <w:rPr>
          <w:rFonts w:asciiTheme="minorHAnsi" w:hAnsiTheme="minorHAnsi" w:cstheme="minorHAnsi"/>
          <w:lang w:val="en-US"/>
        </w:rPr>
        <w:t xml:space="preserve">2 </w:t>
      </w:r>
      <w:r>
        <w:rPr>
          <w:rFonts w:asciiTheme="minorHAnsi" w:hAnsiTheme="minorHAnsi" w:cstheme="minorHAnsi"/>
          <w:lang w:val="en-US"/>
        </w:rPr>
        <w:t>B.1</w:t>
      </w:r>
      <w:r w:rsidRPr="006E48F2">
        <w:rPr>
          <w:rFonts w:asciiTheme="minorHAnsi" w:hAnsiTheme="minorHAnsi" w:cstheme="minorHAnsi"/>
          <w:lang w:val="en-US"/>
        </w:rPr>
        <w:t xml:space="preserve">, B 1.1.7 and B. 1. 351 </w:t>
      </w:r>
      <w:r w:rsidR="007C22D3">
        <w:rPr>
          <w:rFonts w:asciiTheme="minorHAnsi" w:hAnsiTheme="minorHAnsi" w:cstheme="minorHAnsi"/>
          <w:lang w:val="en-US"/>
        </w:rPr>
        <w:t xml:space="preserve">variants </w:t>
      </w:r>
      <w:r w:rsidRPr="006E48F2">
        <w:rPr>
          <w:rFonts w:asciiTheme="minorHAnsi" w:hAnsiTheme="minorHAnsi" w:cstheme="minorHAnsi"/>
          <w:lang w:val="en-US"/>
        </w:rPr>
        <w:t xml:space="preserve">for the </w:t>
      </w:r>
      <w:r w:rsidR="001F2659">
        <w:rPr>
          <w:rFonts w:asciiTheme="minorHAnsi" w:hAnsiTheme="minorHAnsi" w:cstheme="minorHAnsi"/>
          <w:lang w:val="en-US"/>
        </w:rPr>
        <w:t xml:space="preserve">pre-exposed </w:t>
      </w:r>
      <w:r w:rsidRPr="006E48F2">
        <w:rPr>
          <w:rFonts w:asciiTheme="minorHAnsi" w:hAnsiTheme="minorHAnsi" w:cstheme="minorHAnsi"/>
          <w:lang w:val="en-US"/>
        </w:rPr>
        <w:t>group</w:t>
      </w:r>
      <w:r w:rsidRPr="006E48F2">
        <w:rPr>
          <w:rFonts w:asciiTheme="minorHAnsi" w:hAnsiTheme="minorHAnsi" w:cstheme="minorHAnsi"/>
          <w:color w:val="000000" w:themeColor="text1"/>
          <w:lang w:val="en-US"/>
        </w:rPr>
        <w:t xml:space="preserve">. Our results are </w:t>
      </w:r>
      <w:r w:rsidR="007C22D3">
        <w:rPr>
          <w:rFonts w:asciiTheme="minorHAnsi" w:hAnsiTheme="minorHAnsi" w:cstheme="minorHAnsi"/>
          <w:color w:val="000000" w:themeColor="text1"/>
          <w:lang w:val="en-US"/>
        </w:rPr>
        <w:t xml:space="preserve">consistent </w:t>
      </w:r>
      <w:r w:rsidRPr="006E48F2">
        <w:rPr>
          <w:rFonts w:asciiTheme="minorHAnsi" w:hAnsiTheme="minorHAnsi" w:cstheme="minorHAnsi"/>
          <w:color w:val="000000" w:themeColor="text1"/>
          <w:lang w:val="en-US"/>
        </w:rPr>
        <w:t xml:space="preserve">with those </w:t>
      </w:r>
      <w:r w:rsidR="007C22D3">
        <w:rPr>
          <w:rFonts w:asciiTheme="minorHAnsi" w:hAnsiTheme="minorHAnsi" w:cstheme="minorHAnsi"/>
          <w:color w:val="000000" w:themeColor="text1"/>
          <w:lang w:val="en-US"/>
        </w:rPr>
        <w:t>found</w:t>
      </w:r>
      <w:r w:rsidR="007C22D3" w:rsidRPr="006E48F2">
        <w:rPr>
          <w:rFonts w:asciiTheme="minorHAnsi" w:hAnsiTheme="minorHAnsi" w:cstheme="minorHAnsi"/>
          <w:color w:val="000000" w:themeColor="text1"/>
          <w:lang w:val="en-US"/>
        </w:rPr>
        <w:t xml:space="preserve"> </w:t>
      </w:r>
      <w:r w:rsidRPr="006E48F2">
        <w:rPr>
          <w:rFonts w:asciiTheme="minorHAnsi" w:hAnsiTheme="minorHAnsi" w:cstheme="minorHAnsi"/>
          <w:color w:val="000000" w:themeColor="text1"/>
          <w:lang w:val="en-US"/>
        </w:rPr>
        <w:t xml:space="preserve">by </w:t>
      </w:r>
      <w:r w:rsidRPr="006E48F2">
        <w:rPr>
          <w:rFonts w:asciiTheme="minorHAnsi" w:hAnsiTheme="minorHAnsi" w:cstheme="minorHAnsi"/>
          <w:lang w:val="en-US"/>
        </w:rPr>
        <w:t>Saadat et al,</w:t>
      </w:r>
      <w:r w:rsidR="00AB4B0B">
        <w:rPr>
          <w:rFonts w:asciiTheme="minorHAnsi" w:hAnsiTheme="minorHAnsi" w:cstheme="minorHAnsi"/>
          <w:vertAlign w:val="superscript"/>
          <w:lang w:val="en-US"/>
        </w:rPr>
        <w:t>1</w:t>
      </w:r>
      <w:r w:rsidR="00D0372A">
        <w:rPr>
          <w:rFonts w:asciiTheme="minorHAnsi" w:hAnsiTheme="minorHAnsi" w:cstheme="minorHAnsi"/>
          <w:vertAlign w:val="superscript"/>
          <w:lang w:val="en-US"/>
        </w:rPr>
        <w:t>4</w:t>
      </w:r>
      <w:r w:rsidRPr="006E48F2">
        <w:rPr>
          <w:rFonts w:asciiTheme="minorHAnsi" w:hAnsiTheme="minorHAnsi" w:cstheme="minorHAnsi"/>
          <w:lang w:val="en-US"/>
        </w:rPr>
        <w:t xml:space="preserve"> who showed that healthcare workers with previous COVID-19 infection had higher antibody titer responses to a single dose of mRNA vaccine than thos</w:t>
      </w:r>
      <w:r w:rsidRPr="0011621E">
        <w:rPr>
          <w:rFonts w:asciiTheme="minorHAnsi" w:hAnsiTheme="minorHAnsi" w:cstheme="minorHAnsi"/>
          <w:lang w:val="en-US"/>
        </w:rPr>
        <w:t xml:space="preserve">e who were not previously infected, and </w:t>
      </w:r>
      <w:r w:rsidR="007C22D3" w:rsidRPr="0011621E">
        <w:rPr>
          <w:rFonts w:asciiTheme="minorHAnsi" w:hAnsiTheme="minorHAnsi" w:cstheme="minorHAnsi"/>
          <w:lang w:val="en-US"/>
        </w:rPr>
        <w:t xml:space="preserve">with </w:t>
      </w:r>
      <w:r w:rsidRPr="0011621E">
        <w:rPr>
          <w:rFonts w:asciiTheme="minorHAnsi" w:hAnsiTheme="minorHAnsi" w:cstheme="minorHAnsi"/>
          <w:lang w:val="en-US"/>
        </w:rPr>
        <w:t xml:space="preserve">those from </w:t>
      </w:r>
      <w:proofErr w:type="spellStart"/>
      <w:r w:rsidRPr="007B19E7">
        <w:rPr>
          <w:rFonts w:asciiTheme="minorHAnsi" w:hAnsiTheme="minorHAnsi" w:cstheme="minorHAnsi"/>
          <w:lang w:val="en-US"/>
        </w:rPr>
        <w:t>Ebinger</w:t>
      </w:r>
      <w:proofErr w:type="spellEnd"/>
      <w:r w:rsidRPr="007B19E7">
        <w:rPr>
          <w:rFonts w:asciiTheme="minorHAnsi" w:hAnsiTheme="minorHAnsi" w:cstheme="minorHAnsi"/>
          <w:lang w:val="en-US"/>
        </w:rPr>
        <w:t xml:space="preserve"> et al</w:t>
      </w:r>
      <w:r w:rsidR="00174913" w:rsidRPr="007B19E7">
        <w:rPr>
          <w:rFonts w:asciiTheme="minorHAnsi" w:hAnsiTheme="minorHAnsi" w:cstheme="minorHAnsi"/>
          <w:lang w:val="en-US"/>
        </w:rPr>
        <w:t>,</w:t>
      </w:r>
      <w:r w:rsidR="00D0372A" w:rsidRPr="007B19E7">
        <w:rPr>
          <w:rFonts w:asciiTheme="minorHAnsi" w:hAnsiTheme="minorHAnsi" w:cstheme="minorHAnsi"/>
          <w:vertAlign w:val="superscript"/>
          <w:lang w:val="en-US"/>
        </w:rPr>
        <w:t>15</w:t>
      </w:r>
      <w:r w:rsidR="00174913" w:rsidRPr="007B19E7">
        <w:rPr>
          <w:rFonts w:asciiTheme="minorHAnsi" w:hAnsiTheme="minorHAnsi" w:cstheme="minorHAnsi"/>
          <w:lang w:val="en-US"/>
        </w:rPr>
        <w:t xml:space="preserve"> </w:t>
      </w:r>
      <w:r w:rsidRPr="007B19E7">
        <w:rPr>
          <w:rFonts w:asciiTheme="minorHAnsi" w:hAnsiTheme="minorHAnsi" w:cstheme="minorHAnsi"/>
          <w:shd w:val="clear" w:color="auto" w:fill="FFFFFF"/>
          <w:lang w:val="en-US"/>
        </w:rPr>
        <w:t xml:space="preserve">who showed significant differences in </w:t>
      </w:r>
      <w:r w:rsidRPr="0011621E">
        <w:rPr>
          <w:rFonts w:asciiTheme="minorHAnsi" w:eastAsiaTheme="minorHAnsi" w:hAnsiTheme="minorHAnsi" w:cstheme="minorHAnsi"/>
          <w:lang w:val="en-US" w:eastAsia="en-US"/>
        </w:rPr>
        <w:t>spike-specif</w:t>
      </w:r>
      <w:r w:rsidRPr="006E48F2">
        <w:rPr>
          <w:rFonts w:asciiTheme="minorHAnsi" w:eastAsiaTheme="minorHAnsi" w:hAnsiTheme="minorHAnsi" w:cstheme="minorHAnsi"/>
          <w:lang w:val="en-US" w:eastAsia="en-US"/>
        </w:rPr>
        <w:t xml:space="preserve">ic IgG antibody levels and ACE2 antibody binding inhibition responses elicited by a single vaccine dose in individuals with prior SARS-CoV-2 infection (n = 35) were similar to those </w:t>
      </w:r>
      <w:r w:rsidR="007C22D3">
        <w:rPr>
          <w:rFonts w:asciiTheme="minorHAnsi" w:eastAsiaTheme="minorHAnsi" w:hAnsiTheme="minorHAnsi" w:cstheme="minorHAnsi"/>
          <w:lang w:val="en-US" w:eastAsia="en-US"/>
        </w:rPr>
        <w:t>found</w:t>
      </w:r>
      <w:r w:rsidR="007C22D3" w:rsidRPr="006E48F2">
        <w:rPr>
          <w:rFonts w:asciiTheme="minorHAnsi" w:eastAsiaTheme="minorHAnsi" w:hAnsiTheme="minorHAnsi" w:cstheme="minorHAnsi"/>
          <w:lang w:val="en-US" w:eastAsia="en-US"/>
        </w:rPr>
        <w:t xml:space="preserve"> </w:t>
      </w:r>
      <w:r w:rsidRPr="006E48F2">
        <w:rPr>
          <w:rFonts w:asciiTheme="minorHAnsi" w:eastAsiaTheme="minorHAnsi" w:hAnsiTheme="minorHAnsi" w:cstheme="minorHAnsi"/>
          <w:lang w:val="en-US" w:eastAsia="en-US"/>
        </w:rPr>
        <w:t>after two doses of vaccine in individuals without prior infection (n = 228).  In addition</w:t>
      </w:r>
      <w:r w:rsidR="00174913">
        <w:rPr>
          <w:rFonts w:asciiTheme="minorHAnsi" w:eastAsiaTheme="minorHAnsi" w:hAnsiTheme="minorHAnsi" w:cstheme="minorHAnsi"/>
          <w:lang w:val="en-US" w:eastAsia="en-US"/>
        </w:rPr>
        <w:t xml:space="preserve"> to data provided in th</w:t>
      </w:r>
      <w:r w:rsidR="007C22D3">
        <w:rPr>
          <w:rFonts w:asciiTheme="minorHAnsi" w:eastAsiaTheme="minorHAnsi" w:hAnsiTheme="minorHAnsi" w:cstheme="minorHAnsi"/>
          <w:lang w:val="en-US" w:eastAsia="en-US"/>
        </w:rPr>
        <w:t>ese</w:t>
      </w:r>
      <w:r w:rsidR="00174913">
        <w:rPr>
          <w:rFonts w:asciiTheme="minorHAnsi" w:eastAsiaTheme="minorHAnsi" w:hAnsiTheme="minorHAnsi" w:cstheme="minorHAnsi"/>
          <w:lang w:val="en-US" w:eastAsia="en-US"/>
        </w:rPr>
        <w:t xml:space="preserve"> studies</w:t>
      </w:r>
      <w:r w:rsidRPr="006E48F2">
        <w:rPr>
          <w:rFonts w:asciiTheme="minorHAnsi" w:eastAsiaTheme="minorHAnsi" w:hAnsiTheme="minorHAnsi" w:cstheme="minorHAnsi"/>
          <w:lang w:val="en-US" w:eastAsia="en-US"/>
        </w:rPr>
        <w:t xml:space="preserve">, we provide data on </w:t>
      </w:r>
      <w:r w:rsidR="008905D9">
        <w:rPr>
          <w:rFonts w:asciiTheme="minorHAnsi" w:eastAsiaTheme="minorHAnsi" w:hAnsiTheme="minorHAnsi" w:cstheme="minorHAnsi"/>
          <w:lang w:val="en-US" w:eastAsia="en-US"/>
        </w:rPr>
        <w:t>neutralizing</w:t>
      </w:r>
      <w:r w:rsidRPr="006E48F2">
        <w:rPr>
          <w:rFonts w:asciiTheme="minorHAnsi" w:eastAsiaTheme="minorHAnsi" w:hAnsiTheme="minorHAnsi" w:cstheme="minorHAnsi"/>
          <w:lang w:val="en-US" w:eastAsia="en-US"/>
        </w:rPr>
        <w:t xml:space="preserve"> activity against B 1.1.7 and B.1.35</w:t>
      </w:r>
      <w:r w:rsidR="0083086E">
        <w:rPr>
          <w:rFonts w:asciiTheme="minorHAnsi" w:eastAsiaTheme="minorHAnsi" w:hAnsiTheme="minorHAnsi" w:cstheme="minorHAnsi"/>
          <w:lang w:val="en-US" w:eastAsia="en-US"/>
        </w:rPr>
        <w:t>1</w:t>
      </w:r>
      <w:r w:rsidRPr="006E48F2">
        <w:rPr>
          <w:rFonts w:asciiTheme="minorHAnsi" w:eastAsiaTheme="minorHAnsi" w:hAnsiTheme="minorHAnsi" w:cstheme="minorHAnsi"/>
          <w:lang w:val="en-US" w:eastAsia="en-US"/>
        </w:rPr>
        <w:t xml:space="preserve"> SARS</w:t>
      </w:r>
      <w:r w:rsidR="00174913">
        <w:rPr>
          <w:rFonts w:asciiTheme="minorHAnsi" w:eastAsiaTheme="minorHAnsi" w:hAnsiTheme="minorHAnsi" w:cstheme="minorHAnsi"/>
          <w:lang w:val="en-US" w:eastAsia="en-US"/>
        </w:rPr>
        <w:t>-</w:t>
      </w:r>
      <w:r w:rsidRPr="006E48F2">
        <w:rPr>
          <w:rFonts w:asciiTheme="minorHAnsi" w:eastAsiaTheme="minorHAnsi" w:hAnsiTheme="minorHAnsi" w:cstheme="minorHAnsi"/>
          <w:lang w:val="en-US" w:eastAsia="en-US"/>
        </w:rPr>
        <w:t>CoV</w:t>
      </w:r>
      <w:r w:rsidR="00174913">
        <w:rPr>
          <w:rFonts w:asciiTheme="minorHAnsi" w:eastAsiaTheme="minorHAnsi" w:hAnsiTheme="minorHAnsi" w:cstheme="minorHAnsi"/>
          <w:lang w:val="en-US" w:eastAsia="en-US"/>
        </w:rPr>
        <w:t>-</w:t>
      </w:r>
      <w:r w:rsidRPr="006E48F2">
        <w:rPr>
          <w:rFonts w:asciiTheme="minorHAnsi" w:eastAsiaTheme="minorHAnsi" w:hAnsiTheme="minorHAnsi" w:cstheme="minorHAnsi"/>
          <w:lang w:val="en-US" w:eastAsia="en-US"/>
        </w:rPr>
        <w:t xml:space="preserve">2 variants and, although providing a single dose of vaccine to individuals with a confirmed history of SARS-CoV-2 infection may be effective to neutralize </w:t>
      </w:r>
      <w:r w:rsidR="007B19E7">
        <w:rPr>
          <w:rFonts w:asciiTheme="minorHAnsi" w:eastAsiaTheme="minorHAnsi" w:hAnsiTheme="minorHAnsi" w:cstheme="minorHAnsi"/>
          <w:lang w:val="en-US" w:eastAsia="en-US"/>
        </w:rPr>
        <w:t xml:space="preserve">B.1 </w:t>
      </w:r>
      <w:r w:rsidRPr="006E48F2">
        <w:rPr>
          <w:rFonts w:asciiTheme="minorHAnsi" w:eastAsiaTheme="minorHAnsi" w:hAnsiTheme="minorHAnsi" w:cstheme="minorHAnsi"/>
          <w:lang w:val="en-US" w:eastAsia="en-US"/>
        </w:rPr>
        <w:t>and B1.1.7, this may not be enough for B.1.35</w:t>
      </w:r>
      <w:r w:rsidR="0083086E">
        <w:rPr>
          <w:rFonts w:asciiTheme="minorHAnsi" w:eastAsiaTheme="minorHAnsi" w:hAnsiTheme="minorHAnsi" w:cstheme="minorHAnsi"/>
          <w:lang w:val="en-US" w:eastAsia="en-US"/>
        </w:rPr>
        <w:t xml:space="preserve">1 </w:t>
      </w:r>
      <w:r w:rsidRPr="006E48F2">
        <w:rPr>
          <w:rFonts w:asciiTheme="minorHAnsi" w:eastAsiaTheme="minorHAnsi" w:hAnsiTheme="minorHAnsi" w:cstheme="minorHAnsi"/>
          <w:lang w:val="en-US" w:eastAsia="en-US"/>
        </w:rPr>
        <w:t>and, perhaps, for other new variants carrying also specific “vaccine escape” spike mutation</w:t>
      </w:r>
      <w:r w:rsidR="00174913">
        <w:rPr>
          <w:rFonts w:asciiTheme="minorHAnsi" w:eastAsiaTheme="minorHAnsi" w:hAnsiTheme="minorHAnsi" w:cstheme="minorHAnsi"/>
          <w:lang w:val="en-US" w:eastAsia="en-US"/>
        </w:rPr>
        <w:t xml:space="preserve">s, such as it has been proposed for </w:t>
      </w:r>
      <w:r w:rsidRPr="006E48F2">
        <w:rPr>
          <w:rFonts w:asciiTheme="minorHAnsi" w:eastAsiaTheme="minorHAnsi" w:hAnsiTheme="minorHAnsi" w:cstheme="minorHAnsi"/>
          <w:lang w:val="en-US" w:eastAsia="en-US"/>
        </w:rPr>
        <w:t>E484K</w:t>
      </w:r>
      <w:r w:rsidR="00821683">
        <w:rPr>
          <w:rFonts w:asciiTheme="minorHAnsi" w:eastAsiaTheme="minorHAnsi" w:hAnsiTheme="minorHAnsi" w:cstheme="minorHAnsi"/>
          <w:lang w:val="en-US" w:eastAsia="en-US"/>
        </w:rPr>
        <w:t xml:space="preserve">, presented in lineages </w:t>
      </w:r>
      <w:r w:rsidR="00821683" w:rsidRPr="006E48F2">
        <w:rPr>
          <w:rFonts w:asciiTheme="minorHAnsi" w:eastAsiaTheme="minorHAnsi" w:hAnsiTheme="minorHAnsi" w:cstheme="minorHAnsi"/>
          <w:lang w:val="en-US" w:eastAsia="en-US"/>
        </w:rPr>
        <w:t>B.1.35</w:t>
      </w:r>
      <w:r w:rsidR="00821683">
        <w:rPr>
          <w:rFonts w:asciiTheme="minorHAnsi" w:eastAsiaTheme="minorHAnsi" w:hAnsiTheme="minorHAnsi" w:cstheme="minorHAnsi"/>
          <w:lang w:val="en-US" w:eastAsia="en-US"/>
        </w:rPr>
        <w:t>1</w:t>
      </w:r>
      <w:r w:rsidR="00AB4B0B">
        <w:rPr>
          <w:rFonts w:asciiTheme="minorHAnsi" w:eastAsiaTheme="minorHAnsi" w:hAnsiTheme="minorHAnsi" w:cstheme="minorHAnsi"/>
          <w:lang w:val="en-US" w:eastAsia="en-US"/>
        </w:rPr>
        <w:t xml:space="preserve"> and </w:t>
      </w:r>
      <w:r w:rsidR="00821683">
        <w:rPr>
          <w:rFonts w:asciiTheme="minorHAnsi" w:eastAsiaTheme="minorHAnsi" w:hAnsiTheme="minorHAnsi" w:cstheme="minorHAnsi"/>
          <w:lang w:val="en-US" w:eastAsia="en-US"/>
        </w:rPr>
        <w:t>P1</w:t>
      </w:r>
      <w:r w:rsidR="00AB4B0B">
        <w:rPr>
          <w:rFonts w:asciiTheme="minorHAnsi" w:eastAsiaTheme="minorHAnsi" w:hAnsiTheme="minorHAnsi" w:cstheme="minorHAnsi"/>
          <w:lang w:val="en-US" w:eastAsia="en-US"/>
        </w:rPr>
        <w:t>/</w:t>
      </w:r>
      <w:r w:rsidR="00821683">
        <w:rPr>
          <w:rFonts w:asciiTheme="minorHAnsi" w:eastAsiaTheme="minorHAnsi" w:hAnsiTheme="minorHAnsi" w:cstheme="minorHAnsi"/>
          <w:lang w:val="en-US" w:eastAsia="en-US"/>
        </w:rPr>
        <w:t>P2</w:t>
      </w:r>
      <w:r w:rsidRPr="006E48F2">
        <w:rPr>
          <w:rFonts w:asciiTheme="minorHAnsi" w:eastAsiaTheme="minorHAnsi" w:hAnsiTheme="minorHAnsi" w:cstheme="minorHAnsi"/>
          <w:lang w:val="en-US" w:eastAsia="en-US"/>
        </w:rPr>
        <w:t>.</w:t>
      </w:r>
      <w:r w:rsidR="00AB4B0B">
        <w:rPr>
          <w:rFonts w:asciiTheme="minorHAnsi" w:eastAsiaTheme="minorHAnsi" w:hAnsiTheme="minorHAnsi" w:cstheme="minorHAnsi"/>
          <w:vertAlign w:val="superscript"/>
          <w:lang w:val="en-US" w:eastAsia="en-US"/>
        </w:rPr>
        <w:t>1</w:t>
      </w:r>
      <w:r w:rsidR="00D0372A">
        <w:rPr>
          <w:rFonts w:asciiTheme="minorHAnsi" w:eastAsiaTheme="minorHAnsi" w:hAnsiTheme="minorHAnsi" w:cstheme="minorHAnsi"/>
          <w:vertAlign w:val="superscript"/>
          <w:lang w:val="en-US" w:eastAsia="en-US"/>
        </w:rPr>
        <w:t>6</w:t>
      </w:r>
      <w:r w:rsidR="00AB4B0B">
        <w:rPr>
          <w:rFonts w:asciiTheme="minorHAnsi" w:eastAsiaTheme="minorHAnsi" w:hAnsiTheme="minorHAnsi" w:cstheme="minorHAnsi"/>
          <w:vertAlign w:val="superscript"/>
          <w:lang w:val="en-US" w:eastAsia="en-US"/>
        </w:rPr>
        <w:t>,1</w:t>
      </w:r>
      <w:r w:rsidR="00D0372A">
        <w:rPr>
          <w:rFonts w:asciiTheme="minorHAnsi" w:eastAsiaTheme="minorHAnsi" w:hAnsiTheme="minorHAnsi" w:cstheme="minorHAnsi"/>
          <w:vertAlign w:val="superscript"/>
          <w:lang w:val="en-US" w:eastAsia="en-US"/>
        </w:rPr>
        <w:t>7</w:t>
      </w:r>
      <w:r w:rsidR="0083086E">
        <w:rPr>
          <w:rFonts w:asciiTheme="minorHAnsi" w:eastAsiaTheme="minorHAnsi" w:hAnsiTheme="minorHAnsi" w:cstheme="minorHAnsi"/>
          <w:lang w:val="en-US" w:eastAsia="en-US"/>
        </w:rPr>
        <w:t xml:space="preserve">. </w:t>
      </w:r>
      <w:r w:rsidR="0083086E" w:rsidRPr="0083086E">
        <w:rPr>
          <w:rFonts w:asciiTheme="minorHAnsi" w:hAnsiTheme="minorHAnsi" w:cstheme="minorHAnsi"/>
          <w:color w:val="000000" w:themeColor="text1"/>
          <w:highlight w:val="cyan"/>
          <w:lang w:val="en-US"/>
        </w:rPr>
        <w:t>B.1.351 variant incorporates E484K in RBD of the S protein</w:t>
      </w:r>
      <w:r w:rsidR="00E4475E">
        <w:rPr>
          <w:rFonts w:asciiTheme="minorHAnsi" w:hAnsiTheme="minorHAnsi" w:cstheme="minorHAnsi"/>
          <w:color w:val="000000" w:themeColor="text1"/>
          <w:highlight w:val="cyan"/>
          <w:lang w:val="en-US"/>
        </w:rPr>
        <w:t xml:space="preserve"> (Cheng et al</w:t>
      </w:r>
      <w:r w:rsidR="00661EAE">
        <w:rPr>
          <w:rFonts w:asciiTheme="minorHAnsi" w:hAnsiTheme="minorHAnsi" w:cstheme="minorHAnsi"/>
          <w:color w:val="000000" w:themeColor="text1"/>
          <w:highlight w:val="cyan"/>
          <w:vertAlign w:val="superscript"/>
          <w:lang w:val="en-US"/>
        </w:rPr>
        <w:t>18</w:t>
      </w:r>
      <w:r w:rsidR="00E4475E" w:rsidRPr="00E4475E">
        <w:rPr>
          <w:rFonts w:asciiTheme="minorHAnsi" w:hAnsiTheme="minorHAnsi" w:cstheme="minorHAnsi"/>
          <w:color w:val="000000" w:themeColor="text1"/>
          <w:highlight w:val="cyan"/>
          <w:lang w:val="en-US"/>
        </w:rPr>
        <w:t>,</w:t>
      </w:r>
      <w:r w:rsidR="00E4475E">
        <w:rPr>
          <w:rFonts w:asciiTheme="minorHAnsi" w:hAnsiTheme="minorHAnsi" w:cstheme="minorHAnsi"/>
          <w:color w:val="000000" w:themeColor="text1"/>
          <w:highlight w:val="cyan"/>
          <w:lang w:val="en-US"/>
        </w:rPr>
        <w:t>Wang et al</w:t>
      </w:r>
      <w:r w:rsidR="00661EAE">
        <w:rPr>
          <w:rFonts w:asciiTheme="minorHAnsi" w:hAnsiTheme="minorHAnsi" w:cstheme="minorHAnsi"/>
          <w:color w:val="000000" w:themeColor="text1"/>
          <w:highlight w:val="cyan"/>
          <w:vertAlign w:val="superscript"/>
          <w:lang w:val="en-US"/>
        </w:rPr>
        <w:t>19</w:t>
      </w:r>
      <w:r w:rsidR="00E4475E">
        <w:rPr>
          <w:rFonts w:asciiTheme="minorHAnsi" w:hAnsiTheme="minorHAnsi" w:cstheme="minorHAnsi"/>
          <w:color w:val="000000" w:themeColor="text1"/>
          <w:highlight w:val="cyan"/>
          <w:vertAlign w:val="superscript"/>
          <w:lang w:val="en-US"/>
        </w:rPr>
        <w:t>)</w:t>
      </w:r>
      <w:r w:rsidR="0083086E" w:rsidRPr="0083086E">
        <w:rPr>
          <w:rFonts w:asciiTheme="minorHAnsi" w:hAnsiTheme="minorHAnsi" w:cstheme="minorHAnsi"/>
          <w:color w:val="000000" w:themeColor="text1"/>
          <w:highlight w:val="cyan"/>
          <w:lang w:val="en-US"/>
        </w:rPr>
        <w:t>. This mutation affects the binding of serum polyclonal neutralizing antibodies</w:t>
      </w:r>
      <w:r w:rsidR="00E4475E">
        <w:rPr>
          <w:rFonts w:asciiTheme="minorHAnsi" w:hAnsiTheme="minorHAnsi" w:cstheme="minorHAnsi"/>
          <w:color w:val="000000" w:themeColor="text1"/>
          <w:highlight w:val="cyan"/>
          <w:lang w:val="en-US"/>
        </w:rPr>
        <w:t xml:space="preserve"> (</w:t>
      </w:r>
      <w:proofErr w:type="spellStart"/>
      <w:r w:rsidR="00E4475E">
        <w:rPr>
          <w:rFonts w:asciiTheme="minorHAnsi" w:hAnsiTheme="minorHAnsi" w:cstheme="minorHAnsi"/>
          <w:color w:val="000000" w:themeColor="text1"/>
          <w:highlight w:val="cyan"/>
          <w:lang w:val="en-US"/>
        </w:rPr>
        <w:t>Jangra</w:t>
      </w:r>
      <w:proofErr w:type="spellEnd"/>
      <w:r w:rsidR="00E4475E">
        <w:rPr>
          <w:rFonts w:asciiTheme="minorHAnsi" w:hAnsiTheme="minorHAnsi" w:cstheme="minorHAnsi"/>
          <w:color w:val="000000" w:themeColor="text1"/>
          <w:highlight w:val="cyan"/>
          <w:lang w:val="en-US"/>
        </w:rPr>
        <w:t xml:space="preserve"> et al</w:t>
      </w:r>
      <w:r w:rsidR="00661EAE">
        <w:rPr>
          <w:rFonts w:asciiTheme="minorHAnsi" w:hAnsiTheme="minorHAnsi" w:cstheme="minorHAnsi"/>
          <w:color w:val="000000" w:themeColor="text1"/>
          <w:highlight w:val="cyan"/>
          <w:vertAlign w:val="superscript"/>
          <w:lang w:val="en-US"/>
        </w:rPr>
        <w:t>20</w:t>
      </w:r>
      <w:r w:rsidR="00E4475E">
        <w:rPr>
          <w:rFonts w:asciiTheme="minorHAnsi" w:hAnsiTheme="minorHAnsi" w:cstheme="minorHAnsi"/>
          <w:color w:val="000000" w:themeColor="text1"/>
          <w:highlight w:val="cyan"/>
          <w:lang w:val="en-US"/>
        </w:rPr>
        <w:t>)</w:t>
      </w:r>
      <w:r w:rsidR="0083086E" w:rsidRPr="0083086E">
        <w:rPr>
          <w:rFonts w:asciiTheme="minorHAnsi" w:hAnsiTheme="minorHAnsi" w:cstheme="minorHAnsi"/>
          <w:color w:val="000000" w:themeColor="text1"/>
          <w:highlight w:val="cyan"/>
          <w:lang w:val="en-US"/>
        </w:rPr>
        <w:t xml:space="preserve"> due to the fact that it enhances the binding affinity between RBD and the ACE2 in human cells; it has also been shown that it reduces the neutralization activity and even may escape from the neutralizing antibodies in the convalescent plasma of COVID-19 patients, which may weaken the effectiveness of the vaccines and the efficacy of the neutralizing antibody therapeutics in development. This </w:t>
      </w:r>
      <w:r w:rsidR="0083086E" w:rsidRPr="0083086E">
        <w:rPr>
          <w:rFonts w:asciiTheme="minorHAnsi" w:hAnsiTheme="minorHAnsi" w:cstheme="minorHAnsi"/>
          <w:color w:val="000000" w:themeColor="text1"/>
          <w:highlight w:val="cyan"/>
          <w:lang w:val="en-US"/>
        </w:rPr>
        <w:lastRenderedPageBreak/>
        <w:t>effect has also been proven for P1/P2 variants, and may be similar for all variants harboring this change.</w:t>
      </w:r>
      <w:r w:rsidR="0083086E" w:rsidRPr="00A051EA">
        <w:rPr>
          <w:rFonts w:asciiTheme="minorHAnsi" w:hAnsiTheme="minorHAnsi" w:cstheme="minorHAnsi"/>
          <w:color w:val="000000" w:themeColor="text1"/>
          <w:lang w:val="en-US"/>
        </w:rPr>
        <w:t xml:space="preserve"> </w:t>
      </w:r>
    </w:p>
    <w:p w14:paraId="1A2572AE" w14:textId="10CE5F02" w:rsidR="00FD2C1D" w:rsidRPr="0083086E" w:rsidRDefault="00FD2C1D" w:rsidP="0083086E">
      <w:pPr>
        <w:pStyle w:val="p"/>
        <w:spacing w:line="480" w:lineRule="auto"/>
        <w:ind w:firstLine="708"/>
        <w:jc w:val="both"/>
        <w:rPr>
          <w:rFonts w:asciiTheme="minorHAnsi" w:hAnsiTheme="minorHAnsi"/>
          <w:color w:val="000000" w:themeColor="text1"/>
          <w:lang w:val="en-US"/>
        </w:rPr>
      </w:pPr>
      <w:r w:rsidRPr="006E48F2">
        <w:rPr>
          <w:rFonts w:asciiTheme="minorHAnsi" w:eastAsiaTheme="minorHAnsi" w:hAnsiTheme="minorHAnsi" w:cstheme="minorHAnsi"/>
          <w:lang w:val="en-US" w:eastAsia="en-US"/>
        </w:rPr>
        <w:t>Participants p</w:t>
      </w:r>
      <w:r w:rsidRPr="0011621E">
        <w:rPr>
          <w:rFonts w:asciiTheme="minorHAnsi" w:eastAsiaTheme="minorHAnsi" w:hAnsiTheme="minorHAnsi" w:cstheme="minorHAnsi"/>
          <w:lang w:val="en-US" w:eastAsia="en-US"/>
        </w:rPr>
        <w:t>reviously and non-previously infected by SARS</w:t>
      </w:r>
      <w:r w:rsidR="0011621E">
        <w:rPr>
          <w:rFonts w:asciiTheme="minorHAnsi" w:eastAsiaTheme="minorHAnsi" w:hAnsiTheme="minorHAnsi" w:cstheme="minorHAnsi"/>
          <w:lang w:val="en-US" w:eastAsia="en-US"/>
        </w:rPr>
        <w:t>-</w:t>
      </w:r>
      <w:r w:rsidRPr="0011621E">
        <w:rPr>
          <w:rFonts w:asciiTheme="minorHAnsi" w:eastAsiaTheme="minorHAnsi" w:hAnsiTheme="minorHAnsi" w:cstheme="minorHAnsi"/>
          <w:lang w:val="en-US" w:eastAsia="en-US"/>
        </w:rPr>
        <w:t>CoV</w:t>
      </w:r>
      <w:r w:rsidR="0011621E">
        <w:rPr>
          <w:rFonts w:asciiTheme="minorHAnsi" w:eastAsiaTheme="minorHAnsi" w:hAnsiTheme="minorHAnsi" w:cstheme="minorHAnsi"/>
          <w:lang w:val="en-US" w:eastAsia="en-US"/>
        </w:rPr>
        <w:t>-</w:t>
      </w:r>
      <w:r w:rsidRPr="0011621E">
        <w:rPr>
          <w:rFonts w:asciiTheme="minorHAnsi" w:eastAsiaTheme="minorHAnsi" w:hAnsiTheme="minorHAnsi" w:cstheme="minorHAnsi"/>
          <w:lang w:val="en-US" w:eastAsia="en-US"/>
        </w:rPr>
        <w:t>2</w:t>
      </w:r>
      <w:r w:rsidR="00583BAA">
        <w:rPr>
          <w:rFonts w:asciiTheme="minorHAnsi" w:eastAsiaTheme="minorHAnsi" w:hAnsiTheme="minorHAnsi" w:cstheme="minorHAnsi"/>
          <w:lang w:val="en-US" w:eastAsia="en-US"/>
        </w:rPr>
        <w:t xml:space="preserve"> </w:t>
      </w:r>
      <w:r w:rsidRPr="006E48F2">
        <w:rPr>
          <w:rFonts w:asciiTheme="minorHAnsi" w:eastAsiaTheme="minorHAnsi" w:hAnsiTheme="minorHAnsi" w:cstheme="minorHAnsi"/>
          <w:lang w:val="en-US" w:eastAsia="en-US"/>
        </w:rPr>
        <w:t xml:space="preserve">showed high titers of neutralizing antibodies against the </w:t>
      </w:r>
      <w:r>
        <w:rPr>
          <w:rFonts w:asciiTheme="minorHAnsi" w:eastAsiaTheme="minorHAnsi" w:hAnsiTheme="minorHAnsi" w:cstheme="minorHAnsi"/>
          <w:lang w:val="en-US" w:eastAsia="en-US"/>
        </w:rPr>
        <w:t>B.1</w:t>
      </w:r>
      <w:r w:rsidRPr="006E48F2">
        <w:rPr>
          <w:rFonts w:asciiTheme="minorHAnsi" w:eastAsiaTheme="minorHAnsi" w:hAnsiTheme="minorHAnsi" w:cstheme="minorHAnsi"/>
          <w:lang w:val="en-US" w:eastAsia="en-US"/>
        </w:rPr>
        <w:t xml:space="preserve"> and B 1.1.7 variants 14 days after receiving the second dose of </w:t>
      </w:r>
      <w:r w:rsidRPr="006E48F2">
        <w:rPr>
          <w:rFonts w:asciiTheme="minorHAnsi" w:hAnsiTheme="minorHAnsi" w:cstheme="minorHAnsi"/>
          <w:lang w:val="en-US"/>
        </w:rPr>
        <w:t xml:space="preserve">BNT162b2 mRNA. However, </w:t>
      </w:r>
      <w:r w:rsidR="00B55CE7" w:rsidRPr="006E48F2">
        <w:rPr>
          <w:rFonts w:asciiTheme="minorHAnsi" w:hAnsiTheme="minorHAnsi" w:cstheme="minorHAnsi"/>
          <w:lang w:val="en-US"/>
        </w:rPr>
        <w:t>significa</w:t>
      </w:r>
      <w:r w:rsidR="00B55CE7">
        <w:rPr>
          <w:rFonts w:asciiTheme="minorHAnsi" w:hAnsiTheme="minorHAnsi" w:cstheme="minorHAnsi"/>
          <w:lang w:val="en-US"/>
        </w:rPr>
        <w:t>nt</w:t>
      </w:r>
      <w:r w:rsidR="00B55CE7" w:rsidRPr="006E48F2">
        <w:rPr>
          <w:rFonts w:asciiTheme="minorHAnsi" w:hAnsiTheme="minorHAnsi" w:cstheme="minorHAnsi"/>
          <w:lang w:val="en-US"/>
        </w:rPr>
        <w:t xml:space="preserve"> </w:t>
      </w:r>
      <w:r w:rsidR="00241461" w:rsidRPr="006E48F2">
        <w:rPr>
          <w:rFonts w:asciiTheme="minorHAnsi" w:hAnsiTheme="minorHAnsi" w:cstheme="minorHAnsi"/>
          <w:lang w:val="en-US"/>
        </w:rPr>
        <w:t>differences in</w:t>
      </w:r>
      <w:r w:rsidRPr="006E48F2">
        <w:rPr>
          <w:rFonts w:asciiTheme="minorHAnsi" w:hAnsiTheme="minorHAnsi" w:cstheme="minorHAnsi"/>
          <w:lang w:val="en-US"/>
        </w:rPr>
        <w:t xml:space="preserve"> </w:t>
      </w:r>
      <w:r w:rsidR="00EC277C">
        <w:rPr>
          <w:rFonts w:asciiTheme="minorHAnsi" w:hAnsiTheme="minorHAnsi" w:cstheme="minorHAnsi"/>
          <w:lang w:val="en-US"/>
        </w:rPr>
        <w:t xml:space="preserve">both </w:t>
      </w:r>
      <w:r w:rsidRPr="006E48F2">
        <w:rPr>
          <w:rFonts w:asciiTheme="minorHAnsi" w:hAnsiTheme="minorHAnsi" w:cstheme="minorHAnsi"/>
          <w:lang w:val="en-US"/>
        </w:rPr>
        <w:t>the m</w:t>
      </w:r>
      <w:r w:rsidR="00583BAA">
        <w:rPr>
          <w:rFonts w:asciiTheme="minorHAnsi" w:hAnsiTheme="minorHAnsi" w:cstheme="minorHAnsi"/>
          <w:lang w:val="en-US"/>
        </w:rPr>
        <w:t>ean</w:t>
      </w:r>
      <w:r w:rsidRPr="006E48F2">
        <w:rPr>
          <w:rFonts w:asciiTheme="minorHAnsi" w:hAnsiTheme="minorHAnsi" w:cstheme="minorHAnsi"/>
          <w:lang w:val="en-US"/>
        </w:rPr>
        <w:t xml:space="preserve"> titer and the percentage of patients with </w:t>
      </w:r>
      <w:r w:rsidR="001F2659">
        <w:rPr>
          <w:rFonts w:asciiTheme="minorHAnsi" w:hAnsiTheme="minorHAnsi" w:cstheme="minorHAnsi"/>
          <w:lang w:val="en-US"/>
        </w:rPr>
        <w:t xml:space="preserve">neutralization </w:t>
      </w:r>
      <w:r w:rsidRPr="006E48F2">
        <w:rPr>
          <w:rFonts w:asciiTheme="minorHAnsi" w:hAnsiTheme="minorHAnsi" w:cstheme="minorHAnsi"/>
          <w:lang w:val="en-US"/>
        </w:rPr>
        <w:t xml:space="preserve">titers </w:t>
      </w:r>
      <w:r w:rsidR="00EC277C" w:rsidRPr="006E48F2">
        <w:rPr>
          <w:rFonts w:asciiTheme="minorHAnsi" w:hAnsiTheme="minorHAnsi" w:cstheme="minorHAnsi"/>
          <w:lang w:val="en-US"/>
        </w:rPr>
        <w:t xml:space="preserve">were </w:t>
      </w:r>
      <w:r w:rsidR="00EC277C">
        <w:rPr>
          <w:rFonts w:asciiTheme="minorHAnsi" w:hAnsiTheme="minorHAnsi" w:cstheme="minorHAnsi"/>
          <w:lang w:val="en-US"/>
        </w:rPr>
        <w:t>found</w:t>
      </w:r>
      <w:r w:rsidR="00EC277C" w:rsidRPr="006E48F2">
        <w:rPr>
          <w:rFonts w:asciiTheme="minorHAnsi" w:hAnsiTheme="minorHAnsi" w:cstheme="minorHAnsi"/>
          <w:lang w:val="en-US"/>
        </w:rPr>
        <w:t xml:space="preserve"> </w:t>
      </w:r>
      <w:r w:rsidR="00EC277C">
        <w:rPr>
          <w:rFonts w:asciiTheme="minorHAnsi" w:hAnsiTheme="minorHAnsi" w:cstheme="minorHAnsi"/>
          <w:lang w:val="en-US"/>
        </w:rPr>
        <w:t>compared to the</w:t>
      </w:r>
      <w:r w:rsidRPr="006E48F2">
        <w:rPr>
          <w:rFonts w:asciiTheme="minorHAnsi" w:hAnsiTheme="minorHAnsi" w:cstheme="minorHAnsi"/>
          <w:lang w:val="en-US"/>
        </w:rPr>
        <w:t xml:space="preserve"> activity against </w:t>
      </w:r>
      <w:r w:rsidRPr="006E48F2">
        <w:rPr>
          <w:rFonts w:asciiTheme="minorHAnsi" w:eastAsiaTheme="minorHAnsi" w:hAnsiTheme="minorHAnsi" w:cstheme="minorHAnsi"/>
          <w:lang w:val="en-US" w:eastAsia="en-US"/>
        </w:rPr>
        <w:t xml:space="preserve">B.1.352 variant. </w:t>
      </w:r>
      <w:r w:rsidR="00B55CE7">
        <w:rPr>
          <w:rFonts w:asciiTheme="minorHAnsi" w:eastAsiaTheme="minorHAnsi" w:hAnsiTheme="minorHAnsi" w:cstheme="minorHAnsi"/>
          <w:lang w:val="en-US" w:eastAsia="en-US"/>
        </w:rPr>
        <w:t>In consistency with our results</w:t>
      </w:r>
      <w:r w:rsidRPr="006E48F2">
        <w:rPr>
          <w:rFonts w:asciiTheme="minorHAnsi" w:eastAsiaTheme="minorHAnsi" w:hAnsiTheme="minorHAnsi" w:cstheme="minorHAnsi"/>
          <w:lang w:val="en-US" w:eastAsia="en-US"/>
        </w:rPr>
        <w:t xml:space="preserve">, recent </w:t>
      </w:r>
      <w:r w:rsidR="00B55CE7">
        <w:rPr>
          <w:rFonts w:asciiTheme="minorHAnsi" w:eastAsiaTheme="minorHAnsi" w:hAnsiTheme="minorHAnsi" w:cstheme="minorHAnsi"/>
          <w:lang w:val="en-US" w:eastAsia="en-US"/>
        </w:rPr>
        <w:t>studies</w:t>
      </w:r>
      <w:r w:rsidR="00B55CE7" w:rsidRPr="006E48F2">
        <w:rPr>
          <w:rFonts w:asciiTheme="minorHAnsi" w:eastAsiaTheme="minorHAnsi" w:hAnsiTheme="minorHAnsi" w:cstheme="minorHAnsi"/>
          <w:lang w:val="en-US" w:eastAsia="en-US"/>
        </w:rPr>
        <w:t xml:space="preserve"> </w:t>
      </w:r>
      <w:r w:rsidRPr="006E48F2">
        <w:rPr>
          <w:rFonts w:asciiTheme="minorHAnsi" w:eastAsiaTheme="minorHAnsi" w:hAnsiTheme="minorHAnsi" w:cstheme="minorHAnsi"/>
          <w:lang w:val="en-US" w:eastAsia="en-US"/>
        </w:rPr>
        <w:t xml:space="preserve">have shown a </w:t>
      </w:r>
      <w:r w:rsidR="00B55CE7">
        <w:rPr>
          <w:rFonts w:asciiTheme="minorHAnsi" w:eastAsiaTheme="minorHAnsi" w:hAnsiTheme="minorHAnsi" w:cstheme="minorHAnsi"/>
          <w:lang w:val="en-US" w:eastAsia="en-US"/>
        </w:rPr>
        <w:t>lower</w:t>
      </w:r>
      <w:r w:rsidR="00B55CE7" w:rsidRPr="006E48F2">
        <w:rPr>
          <w:rFonts w:asciiTheme="minorHAnsi" w:eastAsiaTheme="minorHAnsi" w:hAnsiTheme="minorHAnsi" w:cstheme="minorHAnsi"/>
          <w:lang w:val="en-US" w:eastAsia="en-US"/>
        </w:rPr>
        <w:t xml:space="preserve"> </w:t>
      </w:r>
      <w:r w:rsidRPr="006E48F2">
        <w:rPr>
          <w:rFonts w:asciiTheme="minorHAnsi" w:eastAsiaTheme="minorHAnsi" w:hAnsiTheme="minorHAnsi" w:cstheme="minorHAnsi"/>
          <w:lang w:val="en-US" w:eastAsia="en-US"/>
        </w:rPr>
        <w:t xml:space="preserve">activity of spike-based mRNA vaccines on </w:t>
      </w:r>
      <w:r w:rsidR="00B55CE7">
        <w:rPr>
          <w:rFonts w:asciiTheme="minorHAnsi" w:eastAsiaTheme="minorHAnsi" w:hAnsiTheme="minorHAnsi" w:cstheme="minorHAnsi"/>
          <w:lang w:val="en-US" w:eastAsia="en-US"/>
        </w:rPr>
        <w:t xml:space="preserve">the </w:t>
      </w:r>
      <w:r w:rsidRPr="006E48F2">
        <w:rPr>
          <w:rFonts w:asciiTheme="minorHAnsi" w:eastAsiaTheme="minorHAnsi" w:hAnsiTheme="minorHAnsi" w:cstheme="minorHAnsi"/>
          <w:lang w:val="en-US" w:eastAsia="en-US"/>
        </w:rPr>
        <w:t xml:space="preserve">B 1.352 </w:t>
      </w:r>
      <w:r w:rsidR="00174913">
        <w:rPr>
          <w:rFonts w:asciiTheme="minorHAnsi" w:eastAsiaTheme="minorHAnsi" w:hAnsiTheme="minorHAnsi" w:cstheme="minorHAnsi"/>
          <w:lang w:val="en-US" w:eastAsia="en-US"/>
        </w:rPr>
        <w:t>variant</w:t>
      </w:r>
      <w:r w:rsidR="00B55CE7">
        <w:rPr>
          <w:rFonts w:asciiTheme="minorHAnsi" w:eastAsiaTheme="minorHAnsi" w:hAnsiTheme="minorHAnsi" w:cstheme="minorHAnsi"/>
          <w:lang w:val="en-US" w:eastAsia="en-US"/>
        </w:rPr>
        <w:t xml:space="preserve"> than on the other SARS-CoV-2 variants</w:t>
      </w:r>
      <w:r w:rsidRPr="006E48F2">
        <w:rPr>
          <w:rFonts w:asciiTheme="minorHAnsi" w:eastAsiaTheme="minorHAnsi" w:hAnsiTheme="minorHAnsi" w:cstheme="minorHAnsi"/>
          <w:lang w:val="en-US" w:eastAsia="en-US"/>
        </w:rPr>
        <w:t xml:space="preserve">: </w:t>
      </w:r>
      <w:proofErr w:type="spellStart"/>
      <w:r w:rsidRPr="006E48F2">
        <w:rPr>
          <w:rFonts w:asciiTheme="minorHAnsi" w:eastAsiaTheme="minorHAnsi" w:hAnsiTheme="minorHAnsi" w:cstheme="minorHAnsi"/>
          <w:lang w:val="en-US" w:eastAsia="en-US"/>
        </w:rPr>
        <w:t>Xie</w:t>
      </w:r>
      <w:proofErr w:type="spellEnd"/>
      <w:r w:rsidRPr="006E48F2">
        <w:rPr>
          <w:rFonts w:asciiTheme="minorHAnsi" w:eastAsiaTheme="minorHAnsi" w:hAnsiTheme="minorHAnsi" w:cstheme="minorHAnsi"/>
          <w:lang w:val="en-US" w:eastAsia="en-US"/>
        </w:rPr>
        <w:t xml:space="preserve"> et al</w:t>
      </w:r>
      <w:r w:rsidR="00661EAE">
        <w:rPr>
          <w:rFonts w:asciiTheme="minorHAnsi" w:eastAsiaTheme="minorHAnsi" w:hAnsiTheme="minorHAnsi" w:cstheme="minorHAnsi"/>
          <w:vertAlign w:val="superscript"/>
          <w:lang w:val="en-US" w:eastAsia="en-US"/>
        </w:rPr>
        <w:t>21</w:t>
      </w:r>
      <w:r w:rsidR="00174913">
        <w:rPr>
          <w:rFonts w:asciiTheme="minorHAnsi" w:eastAsiaTheme="minorHAnsi" w:hAnsiTheme="minorHAnsi" w:cstheme="minorHAnsi"/>
          <w:lang w:val="en-US" w:eastAsia="en-US"/>
        </w:rPr>
        <w:t xml:space="preserve"> </w:t>
      </w:r>
      <w:r w:rsidRPr="006E48F2">
        <w:rPr>
          <w:rFonts w:asciiTheme="minorHAnsi" w:hAnsiTheme="minorHAnsi" w:cstheme="minorHAnsi"/>
          <w:lang w:val="en-US"/>
        </w:rPr>
        <w:t xml:space="preserve">have shown that incorporating the E484K mutation into a B 1.1.7 N501Y+D614G background </w:t>
      </w:r>
      <w:proofErr w:type="spellStart"/>
      <w:r w:rsidRPr="006E48F2">
        <w:rPr>
          <w:rFonts w:asciiTheme="minorHAnsi" w:hAnsiTheme="minorHAnsi" w:cstheme="minorHAnsi"/>
          <w:lang w:val="en-US"/>
        </w:rPr>
        <w:t>pseudovirus</w:t>
      </w:r>
      <w:proofErr w:type="spellEnd"/>
      <w:r w:rsidRPr="006E48F2">
        <w:rPr>
          <w:rFonts w:asciiTheme="minorHAnsi" w:hAnsiTheme="minorHAnsi" w:cstheme="minorHAnsi"/>
          <w:lang w:val="en-US"/>
        </w:rPr>
        <w:t xml:space="preserve"> model resulted in a slightly lower neutralization capacity (0.81- to 1.41-fold</w:t>
      </w:r>
      <w:r w:rsidR="00EC277C" w:rsidRPr="006E48F2">
        <w:rPr>
          <w:rFonts w:asciiTheme="minorHAnsi" w:hAnsiTheme="minorHAnsi" w:cstheme="minorHAnsi"/>
          <w:lang w:val="en-US"/>
        </w:rPr>
        <w:t>)</w:t>
      </w:r>
      <w:r w:rsidR="00EC277C">
        <w:rPr>
          <w:rFonts w:asciiTheme="minorHAnsi" w:hAnsiTheme="minorHAnsi" w:cstheme="minorHAnsi"/>
          <w:lang w:val="en-US"/>
        </w:rPr>
        <w:t>.</w:t>
      </w:r>
      <w:r w:rsidR="00EC277C" w:rsidRPr="006E48F2">
        <w:rPr>
          <w:rFonts w:asciiTheme="minorHAnsi" w:hAnsiTheme="minorHAnsi" w:cstheme="minorHAnsi"/>
          <w:lang w:val="en-US"/>
        </w:rPr>
        <w:t xml:space="preserve"> </w:t>
      </w:r>
      <w:r w:rsidRPr="006E48F2">
        <w:rPr>
          <w:rFonts w:asciiTheme="minorHAnsi" w:hAnsiTheme="minorHAnsi" w:cstheme="minorHAnsi"/>
          <w:lang w:val="en-US"/>
        </w:rPr>
        <w:t xml:space="preserve">Wang et </w:t>
      </w:r>
      <w:r w:rsidR="00661EAE">
        <w:rPr>
          <w:rFonts w:asciiTheme="minorHAnsi" w:hAnsiTheme="minorHAnsi" w:cstheme="minorHAnsi"/>
          <w:lang w:val="en-US"/>
        </w:rPr>
        <w:t>al</w:t>
      </w:r>
      <w:r w:rsidR="00661EAE">
        <w:rPr>
          <w:rFonts w:asciiTheme="minorHAnsi" w:hAnsiTheme="minorHAnsi" w:cstheme="minorHAnsi"/>
          <w:vertAlign w:val="superscript"/>
          <w:lang w:val="en-US"/>
        </w:rPr>
        <w:t>22</w:t>
      </w:r>
      <w:r w:rsidRPr="006E48F2">
        <w:rPr>
          <w:rFonts w:asciiTheme="minorHAnsi" w:hAnsiTheme="minorHAnsi" w:cstheme="minorHAnsi"/>
          <w:lang w:val="en-US"/>
        </w:rPr>
        <w:t xml:space="preserve"> using a </w:t>
      </w:r>
      <w:r w:rsidRPr="006E48F2">
        <w:rPr>
          <w:rFonts w:asciiTheme="minorHAnsi" w:eastAsiaTheme="minorHAnsi" w:hAnsiTheme="minorHAnsi" w:cstheme="minorHAnsi"/>
          <w:lang w:val="en-US" w:eastAsia="en-US"/>
        </w:rPr>
        <w:t xml:space="preserve">SARS-CoV-2 </w:t>
      </w:r>
      <w:proofErr w:type="spellStart"/>
      <w:r w:rsidRPr="006E48F2">
        <w:rPr>
          <w:rFonts w:asciiTheme="minorHAnsi" w:eastAsiaTheme="minorHAnsi" w:hAnsiTheme="minorHAnsi" w:cstheme="minorHAnsi"/>
          <w:lang w:val="en-US" w:eastAsia="en-US"/>
        </w:rPr>
        <w:t>pseudotype</w:t>
      </w:r>
      <w:proofErr w:type="spellEnd"/>
      <w:r w:rsidRPr="006E48F2">
        <w:rPr>
          <w:rFonts w:asciiTheme="minorHAnsi" w:eastAsiaTheme="minorHAnsi" w:hAnsiTheme="minorHAnsi" w:cstheme="minorHAnsi"/>
          <w:lang w:val="en-US" w:eastAsia="en-US"/>
        </w:rPr>
        <w:t xml:space="preserve"> neutralization assay</w:t>
      </w:r>
      <w:r w:rsidRPr="006E48F2">
        <w:rPr>
          <w:rFonts w:asciiTheme="minorHAnsi" w:hAnsiTheme="minorHAnsi" w:cstheme="minorHAnsi"/>
          <w:lang w:val="en-US"/>
        </w:rPr>
        <w:t xml:space="preserve"> studied </w:t>
      </w:r>
      <w:r w:rsidRPr="006E48F2">
        <w:rPr>
          <w:rFonts w:asciiTheme="minorHAnsi" w:eastAsiaTheme="minorHAnsi" w:hAnsiTheme="minorHAnsi" w:cstheme="minorHAnsi"/>
          <w:lang w:val="en-US" w:eastAsia="en-US"/>
        </w:rPr>
        <w:t xml:space="preserve">20 volunteers who received either the </w:t>
      </w:r>
      <w:proofErr w:type="spellStart"/>
      <w:r w:rsidRPr="006E48F2">
        <w:rPr>
          <w:rFonts w:asciiTheme="minorHAnsi" w:eastAsiaTheme="minorHAnsi" w:hAnsiTheme="minorHAnsi" w:cstheme="minorHAnsi"/>
          <w:lang w:val="en-US" w:eastAsia="en-US"/>
        </w:rPr>
        <w:t>Moderna</w:t>
      </w:r>
      <w:proofErr w:type="spellEnd"/>
      <w:r w:rsidRPr="006E48F2">
        <w:rPr>
          <w:rFonts w:asciiTheme="minorHAnsi" w:eastAsiaTheme="minorHAnsi" w:hAnsiTheme="minorHAnsi" w:cstheme="minorHAnsi"/>
          <w:lang w:val="en-US" w:eastAsia="en-US"/>
        </w:rPr>
        <w:t xml:space="preserve"> (mRNA-1273) or Pfizer-BioNTech (BNT162b2) vaccines, finding that activity against SARS-CoV-2 variants encoding E484K or N501Y or the </w:t>
      </w:r>
      <w:proofErr w:type="gramStart"/>
      <w:r w:rsidRPr="006E48F2">
        <w:rPr>
          <w:rFonts w:asciiTheme="minorHAnsi" w:eastAsiaTheme="minorHAnsi" w:hAnsiTheme="minorHAnsi" w:cstheme="minorHAnsi"/>
          <w:lang w:val="en-US" w:eastAsia="en-US"/>
        </w:rPr>
        <w:t>K417N:E484K:N</w:t>
      </w:r>
      <w:proofErr w:type="gramEnd"/>
      <w:r w:rsidRPr="006E48F2">
        <w:rPr>
          <w:rFonts w:asciiTheme="minorHAnsi" w:eastAsiaTheme="minorHAnsi" w:hAnsiTheme="minorHAnsi" w:cstheme="minorHAnsi"/>
          <w:lang w:val="en-US" w:eastAsia="en-US"/>
        </w:rPr>
        <w:t>501Y combination was reduced by a small but significant margin</w:t>
      </w:r>
      <w:r w:rsidR="00EC277C">
        <w:rPr>
          <w:rFonts w:asciiTheme="minorHAnsi" w:hAnsiTheme="minorHAnsi" w:cstheme="minorHAnsi"/>
          <w:lang w:val="en-US"/>
        </w:rPr>
        <w:t>.</w:t>
      </w:r>
      <w:r w:rsidR="00EC277C" w:rsidRPr="006E48F2">
        <w:rPr>
          <w:rFonts w:asciiTheme="minorHAnsi" w:hAnsiTheme="minorHAnsi" w:cstheme="minorHAnsi"/>
          <w:lang w:val="en-US"/>
        </w:rPr>
        <w:t xml:space="preserve"> </w:t>
      </w:r>
      <w:r w:rsidRPr="006E48F2">
        <w:rPr>
          <w:rFonts w:asciiTheme="minorHAnsi" w:hAnsiTheme="minorHAnsi" w:cstheme="minorHAnsi"/>
          <w:lang w:val="en-US"/>
        </w:rPr>
        <w:t>W</w:t>
      </w:r>
      <w:r w:rsidR="00AB4B0B">
        <w:rPr>
          <w:rFonts w:asciiTheme="minorHAnsi" w:hAnsiTheme="minorHAnsi" w:cstheme="minorHAnsi"/>
          <w:lang w:val="en-US"/>
        </w:rPr>
        <w:t>U</w:t>
      </w:r>
      <w:r w:rsidRPr="006E48F2">
        <w:rPr>
          <w:rFonts w:asciiTheme="minorHAnsi" w:hAnsiTheme="minorHAnsi" w:cstheme="minorHAnsi"/>
          <w:lang w:val="en-US"/>
        </w:rPr>
        <w:t xml:space="preserve"> et al,</w:t>
      </w:r>
      <w:r w:rsidR="00661EAE">
        <w:rPr>
          <w:rFonts w:asciiTheme="minorHAnsi" w:hAnsiTheme="minorHAnsi" w:cstheme="minorHAnsi"/>
          <w:vertAlign w:val="superscript"/>
          <w:lang w:val="en-US"/>
        </w:rPr>
        <w:t>23</w:t>
      </w:r>
      <w:r w:rsidRPr="006E48F2">
        <w:rPr>
          <w:rFonts w:asciiTheme="minorHAnsi" w:hAnsiTheme="minorHAnsi" w:cstheme="minorHAnsi"/>
          <w:lang w:val="en-US"/>
        </w:rPr>
        <w:t xml:space="preserve"> used the mRNA-1273 </w:t>
      </w:r>
      <w:proofErr w:type="spellStart"/>
      <w:r w:rsidRPr="006E48F2">
        <w:rPr>
          <w:rFonts w:asciiTheme="minorHAnsi" w:hAnsiTheme="minorHAnsi" w:cstheme="minorHAnsi"/>
          <w:lang w:val="en-US"/>
        </w:rPr>
        <w:t>pseud</w:t>
      </w:r>
      <w:r w:rsidRPr="00EC277C">
        <w:rPr>
          <w:rFonts w:asciiTheme="minorHAnsi" w:hAnsiTheme="minorHAnsi" w:cstheme="minorHAnsi"/>
          <w:lang w:val="en-US"/>
        </w:rPr>
        <w:t>ovi</w:t>
      </w:r>
      <w:r w:rsidRPr="006E48F2">
        <w:rPr>
          <w:rFonts w:asciiTheme="minorHAnsi" w:hAnsiTheme="minorHAnsi" w:cstheme="minorHAnsi"/>
          <w:lang w:val="en-US"/>
        </w:rPr>
        <w:t>ruses</w:t>
      </w:r>
      <w:proofErr w:type="spellEnd"/>
      <w:r w:rsidRPr="006E48F2">
        <w:rPr>
          <w:rFonts w:asciiTheme="minorHAnsi" w:hAnsiTheme="minorHAnsi" w:cstheme="minorHAnsi"/>
          <w:lang w:val="en-US"/>
        </w:rPr>
        <w:t xml:space="preserve"> bearing the spike protein from the original Wuhan-Hu-1 isolate, the D614G variant, the B.1.1.7 and B.1.351 variants, and </w:t>
      </w:r>
      <w:r w:rsidR="00417109">
        <w:rPr>
          <w:rFonts w:asciiTheme="minorHAnsi" w:hAnsiTheme="minorHAnsi" w:cstheme="minorHAnsi"/>
          <w:lang w:val="en-US"/>
        </w:rPr>
        <w:t>found</w:t>
      </w:r>
      <w:r w:rsidR="00417109" w:rsidRPr="006E48F2">
        <w:rPr>
          <w:rFonts w:asciiTheme="minorHAnsi" w:hAnsiTheme="minorHAnsi" w:cstheme="minorHAnsi"/>
          <w:lang w:val="en-US"/>
        </w:rPr>
        <w:t xml:space="preserve"> </w:t>
      </w:r>
      <w:r w:rsidRPr="006E48F2">
        <w:rPr>
          <w:rFonts w:asciiTheme="minorHAnsi" w:hAnsiTheme="minorHAnsi" w:cstheme="minorHAnsi"/>
          <w:lang w:val="en-US"/>
        </w:rPr>
        <w:t xml:space="preserve">a decrease in titers of neutralizing antibodies against the B.1.351 variant and a subset of its mutations affecting the </w:t>
      </w:r>
      <w:r w:rsidR="00BA7021">
        <w:rPr>
          <w:rFonts w:asciiTheme="minorHAnsi" w:hAnsiTheme="minorHAnsi" w:cstheme="minorHAnsi"/>
          <w:lang w:val="en-US"/>
        </w:rPr>
        <w:t>SARS-CoV-2 receptor binding domain (</w:t>
      </w:r>
      <w:r w:rsidRPr="006E48F2">
        <w:rPr>
          <w:rFonts w:asciiTheme="minorHAnsi" w:hAnsiTheme="minorHAnsi" w:cstheme="minorHAnsi"/>
          <w:lang w:val="en-US"/>
        </w:rPr>
        <w:t>RBD</w:t>
      </w:r>
      <w:r w:rsidR="00BA7021">
        <w:rPr>
          <w:rFonts w:asciiTheme="minorHAnsi" w:hAnsiTheme="minorHAnsi" w:cstheme="minorHAnsi"/>
          <w:lang w:val="en-US"/>
        </w:rPr>
        <w:t>)</w:t>
      </w:r>
      <w:r w:rsidRPr="006E48F2">
        <w:rPr>
          <w:rFonts w:asciiTheme="minorHAnsi" w:hAnsiTheme="minorHAnsi" w:cstheme="minorHAnsi"/>
          <w:lang w:val="en-US"/>
        </w:rPr>
        <w:t xml:space="preserve">. Tada et </w:t>
      </w:r>
      <w:r w:rsidR="006817D7" w:rsidRPr="006E48F2">
        <w:rPr>
          <w:rFonts w:asciiTheme="minorHAnsi" w:hAnsiTheme="minorHAnsi" w:cstheme="minorHAnsi"/>
          <w:lang w:val="en-US"/>
        </w:rPr>
        <w:t>al</w:t>
      </w:r>
      <w:r w:rsidR="00D0372A">
        <w:rPr>
          <w:rFonts w:asciiTheme="minorHAnsi" w:hAnsiTheme="minorHAnsi" w:cstheme="minorHAnsi"/>
          <w:vertAlign w:val="superscript"/>
          <w:lang w:val="en-US"/>
        </w:rPr>
        <w:t>2</w:t>
      </w:r>
      <w:r w:rsidR="00661EAE">
        <w:rPr>
          <w:rFonts w:asciiTheme="minorHAnsi" w:hAnsiTheme="minorHAnsi" w:cstheme="minorHAnsi"/>
          <w:vertAlign w:val="superscript"/>
          <w:lang w:val="en-US"/>
        </w:rPr>
        <w:t>4</w:t>
      </w:r>
      <w:r w:rsidR="006817D7" w:rsidRPr="006E48F2">
        <w:rPr>
          <w:rFonts w:asciiTheme="minorHAnsi" w:hAnsiTheme="minorHAnsi" w:cstheme="minorHAnsi"/>
          <w:lang w:val="en-US"/>
        </w:rPr>
        <w:t xml:space="preserve"> </w:t>
      </w:r>
      <w:r w:rsidR="006817D7" w:rsidRPr="006E48F2">
        <w:rPr>
          <w:rFonts w:asciiTheme="minorHAnsi" w:hAnsiTheme="minorHAnsi" w:cstheme="minorHAnsi"/>
          <w:color w:val="000000"/>
          <w:lang w:val="en-US"/>
        </w:rPr>
        <w:t>also</w:t>
      </w:r>
      <w:r w:rsidRPr="006E48F2">
        <w:rPr>
          <w:rFonts w:asciiTheme="minorHAnsi" w:hAnsiTheme="minorHAnsi" w:cstheme="minorHAnsi"/>
          <w:color w:val="000000"/>
          <w:lang w:val="en-US"/>
        </w:rPr>
        <w:t xml:space="preserve"> using </w:t>
      </w:r>
      <w:proofErr w:type="spellStart"/>
      <w:r w:rsidRPr="006E48F2">
        <w:rPr>
          <w:rFonts w:asciiTheme="minorHAnsi" w:hAnsiTheme="minorHAnsi" w:cstheme="minorHAnsi"/>
          <w:lang w:val="en-US"/>
        </w:rPr>
        <w:t>pseudotyped</w:t>
      </w:r>
      <w:proofErr w:type="spellEnd"/>
      <w:r w:rsidRPr="006E48F2">
        <w:rPr>
          <w:rFonts w:asciiTheme="minorHAnsi" w:hAnsiTheme="minorHAnsi" w:cstheme="minorHAnsi"/>
          <w:lang w:val="en-US"/>
        </w:rPr>
        <w:t xml:space="preserve"> viruses</w:t>
      </w:r>
      <w:r w:rsidRPr="006E48F2">
        <w:rPr>
          <w:rFonts w:asciiTheme="minorHAnsi" w:hAnsiTheme="minorHAnsi" w:cstheme="minorHAnsi"/>
          <w:color w:val="000000"/>
          <w:lang w:val="en-US"/>
        </w:rPr>
        <w:t xml:space="preserve"> tested </w:t>
      </w:r>
      <w:r w:rsidRPr="006E48F2">
        <w:rPr>
          <w:rFonts w:asciiTheme="minorHAnsi" w:hAnsiTheme="minorHAnsi" w:cstheme="minorHAnsi"/>
          <w:lang w:val="en-US"/>
        </w:rPr>
        <w:t>serum specimens from individuals vaccinated</w:t>
      </w:r>
      <w:r w:rsidRPr="006E48F2">
        <w:rPr>
          <w:rFonts w:asciiTheme="minorHAnsi" w:hAnsiTheme="minorHAnsi" w:cstheme="minorHAnsi"/>
          <w:color w:val="000000"/>
          <w:lang w:val="en-US"/>
        </w:rPr>
        <w:t xml:space="preserve"> </w:t>
      </w:r>
      <w:r w:rsidRPr="006E48F2">
        <w:rPr>
          <w:rFonts w:asciiTheme="minorHAnsi" w:hAnsiTheme="minorHAnsi" w:cstheme="minorHAnsi"/>
          <w:lang w:val="en-US"/>
        </w:rPr>
        <w:t xml:space="preserve">with the BNT162b2 mRNA vaccine, and found an average 3-fold reduction in titer for the B.1.351 spike, reduction that was attributable to the E484K mutation in the RBD. </w:t>
      </w:r>
      <w:r w:rsidRPr="006E48F2">
        <w:rPr>
          <w:rFonts w:asciiTheme="minorHAnsi" w:hAnsiTheme="minorHAnsi" w:cstheme="minorHAnsi"/>
          <w:color w:val="000000" w:themeColor="text1"/>
          <w:lang w:val="en-US"/>
        </w:rPr>
        <w:t>Liu et al</w:t>
      </w:r>
      <w:r w:rsidR="00AB4B0B">
        <w:rPr>
          <w:rFonts w:asciiTheme="minorHAnsi" w:hAnsiTheme="minorHAnsi" w:cstheme="minorHAnsi"/>
          <w:color w:val="000000" w:themeColor="text1"/>
          <w:vertAlign w:val="superscript"/>
          <w:lang w:val="en-US"/>
        </w:rPr>
        <w:t>2</w:t>
      </w:r>
      <w:r w:rsidR="00661EAE">
        <w:rPr>
          <w:rFonts w:asciiTheme="minorHAnsi" w:hAnsiTheme="minorHAnsi" w:cstheme="minorHAnsi"/>
          <w:color w:val="000000" w:themeColor="text1"/>
          <w:vertAlign w:val="superscript"/>
          <w:lang w:val="en-US"/>
        </w:rPr>
        <w:t>5</w:t>
      </w:r>
      <w:r w:rsidR="006817D7">
        <w:rPr>
          <w:rFonts w:asciiTheme="minorHAnsi" w:hAnsiTheme="minorHAnsi" w:cstheme="minorHAnsi"/>
          <w:color w:val="000000" w:themeColor="text1"/>
          <w:lang w:val="en-US"/>
        </w:rPr>
        <w:t xml:space="preserve"> </w:t>
      </w:r>
      <w:r w:rsidRPr="006E48F2">
        <w:rPr>
          <w:rFonts w:asciiTheme="minorHAnsi" w:hAnsiTheme="minorHAnsi" w:cstheme="minorHAnsi"/>
          <w:lang w:val="en-US"/>
        </w:rPr>
        <w:t xml:space="preserve">engineered S mutations from </w:t>
      </w:r>
      <w:proofErr w:type="spellStart"/>
      <w:r w:rsidRPr="006E48F2">
        <w:rPr>
          <w:rFonts w:asciiTheme="minorHAnsi" w:hAnsiTheme="minorHAnsi" w:cstheme="minorHAnsi"/>
          <w:lang w:val="en-US"/>
        </w:rPr>
        <w:t>pseu</w:t>
      </w:r>
      <w:r w:rsidRPr="00EC277C">
        <w:rPr>
          <w:rFonts w:asciiTheme="minorHAnsi" w:hAnsiTheme="minorHAnsi" w:cstheme="minorHAnsi"/>
          <w:lang w:val="en-US"/>
        </w:rPr>
        <w:t>dovir</w:t>
      </w:r>
      <w:r w:rsidRPr="006E48F2">
        <w:rPr>
          <w:rFonts w:asciiTheme="minorHAnsi" w:hAnsiTheme="minorHAnsi" w:cstheme="minorHAnsi"/>
          <w:lang w:val="en-US"/>
        </w:rPr>
        <w:t>uses</w:t>
      </w:r>
      <w:proofErr w:type="spellEnd"/>
      <w:r w:rsidRPr="006E48F2">
        <w:rPr>
          <w:rFonts w:asciiTheme="minorHAnsi" w:hAnsiTheme="minorHAnsi" w:cstheme="minorHAnsi"/>
          <w:lang w:val="en-US"/>
        </w:rPr>
        <w:t xml:space="preserve"> including all mutations in the B.1.1.7-spike, </w:t>
      </w:r>
      <w:r w:rsidRPr="006E48F2">
        <w:rPr>
          <w:rFonts w:asciiTheme="minorHAnsi" w:hAnsiTheme="minorHAnsi" w:cstheme="minorHAnsi"/>
          <w:lang w:val="en-US"/>
        </w:rPr>
        <w:lastRenderedPageBreak/>
        <w:t xml:space="preserve">the P.1-spike, and the B.1.351-spike and studied the neutralizing activity of serum from participants vaccinated with BNT162b2.  </w:t>
      </w:r>
      <w:r w:rsidR="00417109">
        <w:rPr>
          <w:rFonts w:asciiTheme="minorHAnsi" w:hAnsiTheme="minorHAnsi" w:cstheme="minorHAnsi"/>
          <w:lang w:val="en-US"/>
        </w:rPr>
        <w:t>N</w:t>
      </w:r>
      <w:r w:rsidRPr="006E48F2">
        <w:rPr>
          <w:rFonts w:asciiTheme="minorHAnsi" w:hAnsiTheme="minorHAnsi" w:cstheme="minorHAnsi"/>
          <w:lang w:val="en-US"/>
        </w:rPr>
        <w:t>eutralization of B.1.1.7-spike and P.1-spike viruses was roughly equivalent</w:t>
      </w:r>
      <w:r w:rsidR="00417109">
        <w:rPr>
          <w:rFonts w:asciiTheme="minorHAnsi" w:hAnsiTheme="minorHAnsi" w:cstheme="minorHAnsi"/>
          <w:lang w:val="en-US"/>
        </w:rPr>
        <w:t xml:space="preserve"> c</w:t>
      </w:r>
      <w:r w:rsidR="00417109" w:rsidRPr="006E48F2">
        <w:rPr>
          <w:rFonts w:asciiTheme="minorHAnsi" w:hAnsiTheme="minorHAnsi" w:cstheme="minorHAnsi"/>
          <w:lang w:val="en-US"/>
        </w:rPr>
        <w:t>ompared with neutralization of USA-WA1/2020</w:t>
      </w:r>
      <w:r w:rsidRPr="006E48F2">
        <w:rPr>
          <w:rFonts w:asciiTheme="minorHAnsi" w:hAnsiTheme="minorHAnsi" w:cstheme="minorHAnsi"/>
          <w:lang w:val="en-US"/>
        </w:rPr>
        <w:t xml:space="preserve">, </w:t>
      </w:r>
      <w:r w:rsidR="00417109">
        <w:rPr>
          <w:rFonts w:asciiTheme="minorHAnsi" w:hAnsiTheme="minorHAnsi" w:cstheme="minorHAnsi"/>
          <w:lang w:val="en-US"/>
        </w:rPr>
        <w:t>whereas</w:t>
      </w:r>
      <w:r w:rsidRPr="006E48F2">
        <w:rPr>
          <w:rFonts w:asciiTheme="minorHAnsi" w:hAnsiTheme="minorHAnsi" w:cstheme="minorHAnsi"/>
          <w:lang w:val="en-US"/>
        </w:rPr>
        <w:t xml:space="preserve"> neutralization of B.1.351-spike virus was lower. Garcia</w:t>
      </w:r>
      <w:r w:rsidR="00AB4B0B">
        <w:rPr>
          <w:rFonts w:asciiTheme="minorHAnsi" w:hAnsiTheme="minorHAnsi" w:cstheme="minorHAnsi"/>
          <w:lang w:val="en-US"/>
        </w:rPr>
        <w:t>-</w:t>
      </w:r>
      <w:r w:rsidRPr="006E48F2">
        <w:rPr>
          <w:rFonts w:asciiTheme="minorHAnsi" w:hAnsiTheme="minorHAnsi" w:cstheme="minorHAnsi"/>
          <w:lang w:val="en-US"/>
        </w:rPr>
        <w:t xml:space="preserve">Beltran </w:t>
      </w:r>
      <w:r w:rsidR="006817D7">
        <w:rPr>
          <w:rFonts w:asciiTheme="minorHAnsi" w:hAnsiTheme="minorHAnsi" w:cstheme="minorHAnsi"/>
          <w:lang w:val="en-US"/>
        </w:rPr>
        <w:t>et al</w:t>
      </w:r>
      <w:r w:rsidR="0066676B">
        <w:rPr>
          <w:rFonts w:asciiTheme="minorHAnsi" w:hAnsiTheme="minorHAnsi" w:cstheme="minorHAnsi"/>
          <w:vertAlign w:val="superscript"/>
          <w:lang w:val="en-US"/>
        </w:rPr>
        <w:t>11</w:t>
      </w:r>
      <w:r w:rsidR="006817D7">
        <w:rPr>
          <w:rFonts w:asciiTheme="minorHAnsi" w:hAnsiTheme="minorHAnsi" w:cstheme="minorHAnsi"/>
          <w:lang w:val="en-US"/>
        </w:rPr>
        <w:t xml:space="preserve"> </w:t>
      </w:r>
      <w:r w:rsidRPr="006E48F2">
        <w:rPr>
          <w:rFonts w:asciiTheme="minorHAnsi" w:hAnsiTheme="minorHAnsi" w:cstheme="minorHAnsi"/>
          <w:lang w:val="en-US"/>
        </w:rPr>
        <w:t xml:space="preserve">evaluated the neutralization potency of 48 sera from BNT162b2 and mRNA-1273 vaccine recipients against </w:t>
      </w:r>
      <w:proofErr w:type="spellStart"/>
      <w:r w:rsidRPr="006E48F2">
        <w:rPr>
          <w:rFonts w:asciiTheme="minorHAnsi" w:hAnsiTheme="minorHAnsi" w:cstheme="minorHAnsi"/>
          <w:lang w:val="en-US"/>
        </w:rPr>
        <w:t>pseudoviruses</w:t>
      </w:r>
      <w:proofErr w:type="spellEnd"/>
      <w:r w:rsidRPr="006E48F2">
        <w:rPr>
          <w:rFonts w:asciiTheme="minorHAnsi" w:hAnsiTheme="minorHAnsi" w:cstheme="minorHAnsi"/>
          <w:lang w:val="en-US"/>
        </w:rPr>
        <w:t xml:space="preserve"> bearing spike proteins derived from 10 strains of SARSCoV-2. Again, B.1.351 tog</w:t>
      </w:r>
      <w:r w:rsidRPr="00417109">
        <w:rPr>
          <w:rFonts w:asciiTheme="minorHAnsi" w:hAnsiTheme="minorHAnsi" w:cstheme="minorHAnsi"/>
          <w:lang w:val="en-US"/>
        </w:rPr>
        <w:t xml:space="preserve">ether with four variants harboring receptor-binding domain mutations, including K417N/T, E484K, and N501Y, were highly resistant to neutralization.  </w:t>
      </w:r>
      <w:r w:rsidRPr="007B19E7">
        <w:rPr>
          <w:rFonts w:asciiTheme="minorHAnsi" w:hAnsiTheme="minorHAnsi" w:cstheme="minorHAnsi"/>
          <w:lang w:val="en-US"/>
        </w:rPr>
        <w:t xml:space="preserve">In contrast, </w:t>
      </w:r>
      <w:proofErr w:type="spellStart"/>
      <w:r w:rsidRPr="007B19E7">
        <w:rPr>
          <w:rFonts w:asciiTheme="minorHAnsi" w:hAnsiTheme="minorHAnsi" w:cstheme="minorHAnsi"/>
          <w:lang w:val="en-US"/>
        </w:rPr>
        <w:t>Stamatos</w:t>
      </w:r>
      <w:proofErr w:type="spellEnd"/>
      <w:r w:rsidRPr="007B19E7">
        <w:rPr>
          <w:rFonts w:asciiTheme="minorHAnsi" w:hAnsiTheme="minorHAnsi" w:cstheme="minorHAnsi"/>
          <w:lang w:val="en-US"/>
        </w:rPr>
        <w:t xml:space="preserve"> et al</w:t>
      </w:r>
      <w:r w:rsidR="00AB4B0B" w:rsidRPr="007B19E7">
        <w:rPr>
          <w:rFonts w:asciiTheme="minorHAnsi" w:hAnsiTheme="minorHAnsi" w:cstheme="minorHAnsi"/>
          <w:vertAlign w:val="superscript"/>
          <w:lang w:val="en-US"/>
        </w:rPr>
        <w:t>2</w:t>
      </w:r>
      <w:r w:rsidR="00661EAE">
        <w:rPr>
          <w:rFonts w:asciiTheme="minorHAnsi" w:hAnsiTheme="minorHAnsi" w:cstheme="minorHAnsi"/>
          <w:vertAlign w:val="superscript"/>
          <w:lang w:val="en-US"/>
        </w:rPr>
        <w:t>6</w:t>
      </w:r>
      <w:r w:rsidRPr="007B19E7">
        <w:rPr>
          <w:rFonts w:asciiTheme="minorHAnsi" w:hAnsiTheme="minorHAnsi" w:cstheme="minorHAnsi"/>
          <w:lang w:val="en-US"/>
        </w:rPr>
        <w:t xml:space="preserve"> </w:t>
      </w:r>
      <w:r w:rsidRPr="00417109">
        <w:rPr>
          <w:rFonts w:asciiTheme="minorHAnsi" w:hAnsiTheme="minorHAnsi" w:cstheme="minorHAnsi"/>
          <w:lang w:val="en-US"/>
        </w:rPr>
        <w:t xml:space="preserve">using </w:t>
      </w:r>
      <w:proofErr w:type="spellStart"/>
      <w:r w:rsidRPr="00417109">
        <w:rPr>
          <w:rFonts w:asciiTheme="minorHAnsi" w:hAnsiTheme="minorHAnsi" w:cstheme="minorHAnsi"/>
          <w:lang w:val="en-US"/>
        </w:rPr>
        <w:t>pseudoviruses</w:t>
      </w:r>
      <w:proofErr w:type="spellEnd"/>
      <w:r w:rsidRPr="00417109">
        <w:rPr>
          <w:rFonts w:asciiTheme="minorHAnsi" w:hAnsiTheme="minorHAnsi" w:cstheme="minorHAnsi"/>
          <w:lang w:val="en-US"/>
        </w:rPr>
        <w:t xml:space="preserve"> expressing either the full-length Wuhan Hu1 spike, or a spike containin</w:t>
      </w:r>
      <w:r w:rsidRPr="006E48F2">
        <w:rPr>
          <w:rFonts w:asciiTheme="minorHAnsi" w:hAnsiTheme="minorHAnsi" w:cstheme="minorHAnsi"/>
          <w:lang w:val="en-US"/>
        </w:rPr>
        <w:t xml:space="preserve">g the B.1.351-lineage S mutations D80A, D215G, K417N, E484K, N501Y and D614G, and the A701V, examined whether sera and monoclonal antibodies from convalescent donors, prior to and following a single immunization with the Pfizer or </w:t>
      </w:r>
      <w:proofErr w:type="spellStart"/>
      <w:r w:rsidRPr="006E48F2">
        <w:rPr>
          <w:rFonts w:asciiTheme="minorHAnsi" w:hAnsiTheme="minorHAnsi" w:cstheme="minorHAnsi"/>
          <w:lang w:val="en-US"/>
        </w:rPr>
        <w:t>Moderna</w:t>
      </w:r>
      <w:proofErr w:type="spellEnd"/>
      <w:r w:rsidRPr="006E48F2">
        <w:rPr>
          <w:rFonts w:asciiTheme="minorHAnsi" w:hAnsiTheme="minorHAnsi" w:cstheme="minorHAnsi"/>
          <w:lang w:val="en-US"/>
        </w:rPr>
        <w:t xml:space="preserve"> mRNA vaccines, neutralized the Wuhan-Hu-1 strain and a variant, B.1.351 from South Africa, found a 1000-fold increase in neutralizing antibody titers against both strains and SARSCoV-1.</w:t>
      </w:r>
      <w:r w:rsidR="00F273B8">
        <w:rPr>
          <w:rFonts w:asciiTheme="minorHAnsi" w:hAnsiTheme="minorHAnsi" w:cstheme="minorHAnsi"/>
          <w:lang w:val="en-US"/>
        </w:rPr>
        <w:t xml:space="preserve"> </w:t>
      </w:r>
    </w:p>
    <w:p w14:paraId="74655F47" w14:textId="0E6E48C3" w:rsidR="00FD2C1D" w:rsidRDefault="00583BAA" w:rsidP="007F3788">
      <w:pPr>
        <w:spacing w:line="480" w:lineRule="auto"/>
        <w:ind w:firstLine="708"/>
        <w:jc w:val="both"/>
        <w:rPr>
          <w:rFonts w:asciiTheme="minorHAnsi" w:hAnsiTheme="minorHAnsi" w:cstheme="minorHAnsi"/>
          <w:lang w:val="en-US"/>
        </w:rPr>
      </w:pPr>
      <w:r w:rsidRPr="00583BAA">
        <w:rPr>
          <w:rFonts w:asciiTheme="minorHAnsi" w:hAnsiTheme="minorHAnsi" w:cstheme="minorHAnsi"/>
          <w:lang w:val="en-US"/>
        </w:rPr>
        <w:t>In consistency with the above</w:t>
      </w:r>
      <w:r w:rsidRPr="00241461">
        <w:rPr>
          <w:rFonts w:asciiTheme="minorHAnsi" w:hAnsiTheme="minorHAnsi" w:cstheme="minorHAnsi"/>
          <w:lang w:val="en-US"/>
        </w:rPr>
        <w:t xml:space="preserve">, other studies </w:t>
      </w:r>
      <w:r w:rsidR="00FD2C1D" w:rsidRPr="00241461">
        <w:rPr>
          <w:rFonts w:asciiTheme="minorHAnsi" w:hAnsiTheme="minorHAnsi" w:cstheme="minorHAnsi"/>
          <w:lang w:val="en-US"/>
        </w:rPr>
        <w:t>have also</w:t>
      </w:r>
      <w:r w:rsidR="00FD2C1D" w:rsidRPr="006E48F2">
        <w:rPr>
          <w:rFonts w:asciiTheme="minorHAnsi" w:hAnsiTheme="minorHAnsi" w:cstheme="minorHAnsi"/>
          <w:lang w:val="en-US"/>
        </w:rPr>
        <w:t xml:space="preserve"> shown a neutralization escape </w:t>
      </w:r>
      <w:r w:rsidR="00417109">
        <w:rPr>
          <w:rFonts w:asciiTheme="minorHAnsi" w:hAnsiTheme="minorHAnsi" w:cstheme="minorHAnsi"/>
          <w:lang w:val="en-US"/>
        </w:rPr>
        <w:t>of</w:t>
      </w:r>
      <w:r w:rsidR="00417109" w:rsidRPr="006E48F2">
        <w:rPr>
          <w:rFonts w:asciiTheme="minorHAnsi" w:hAnsiTheme="minorHAnsi" w:cstheme="minorHAnsi"/>
          <w:lang w:val="en-US"/>
        </w:rPr>
        <w:t xml:space="preserve"> </w:t>
      </w:r>
      <w:r w:rsidR="00FD2C1D" w:rsidRPr="006E48F2">
        <w:rPr>
          <w:rFonts w:asciiTheme="minorHAnsi" w:hAnsiTheme="minorHAnsi" w:cstheme="minorHAnsi"/>
          <w:lang w:val="en-US"/>
        </w:rPr>
        <w:t>B</w:t>
      </w:r>
      <w:r w:rsidR="001F2659">
        <w:rPr>
          <w:rFonts w:asciiTheme="minorHAnsi" w:hAnsiTheme="minorHAnsi" w:cstheme="minorHAnsi"/>
          <w:lang w:val="en-US"/>
        </w:rPr>
        <w:t>.</w:t>
      </w:r>
      <w:r w:rsidR="00FD2C1D" w:rsidRPr="006E48F2">
        <w:rPr>
          <w:rFonts w:asciiTheme="minorHAnsi" w:hAnsiTheme="minorHAnsi" w:cstheme="minorHAnsi"/>
          <w:lang w:val="en-US"/>
        </w:rPr>
        <w:t>1.35</w:t>
      </w:r>
      <w:r w:rsidR="001F2659">
        <w:rPr>
          <w:rFonts w:asciiTheme="minorHAnsi" w:hAnsiTheme="minorHAnsi" w:cstheme="minorHAnsi"/>
          <w:lang w:val="en-US"/>
        </w:rPr>
        <w:t>1</w:t>
      </w:r>
      <w:r w:rsidR="00FD2C1D" w:rsidRPr="006E48F2">
        <w:rPr>
          <w:rFonts w:asciiTheme="minorHAnsi" w:hAnsiTheme="minorHAnsi" w:cstheme="minorHAnsi"/>
          <w:lang w:val="en-US"/>
        </w:rPr>
        <w:t xml:space="preserve"> to convalescent plasma. </w:t>
      </w:r>
      <w:proofErr w:type="spellStart"/>
      <w:r w:rsidR="00FD2C1D" w:rsidRPr="006E48F2">
        <w:rPr>
          <w:rFonts w:asciiTheme="minorHAnsi" w:hAnsiTheme="minorHAnsi" w:cstheme="minorHAnsi"/>
          <w:lang w:val="en-US"/>
        </w:rPr>
        <w:t>Wibmer</w:t>
      </w:r>
      <w:proofErr w:type="spellEnd"/>
      <w:r w:rsidR="00FD2C1D" w:rsidRPr="006E48F2">
        <w:rPr>
          <w:rFonts w:asciiTheme="minorHAnsi" w:hAnsiTheme="minorHAnsi" w:cstheme="minorHAnsi"/>
          <w:lang w:val="en-US"/>
        </w:rPr>
        <w:t xml:space="preserve"> et al</w:t>
      </w:r>
      <w:r w:rsidR="00AB4B0B">
        <w:rPr>
          <w:rFonts w:asciiTheme="minorHAnsi" w:hAnsiTheme="minorHAnsi" w:cstheme="minorHAnsi"/>
          <w:vertAlign w:val="superscript"/>
          <w:lang w:val="en-US"/>
        </w:rPr>
        <w:t>2</w:t>
      </w:r>
      <w:r w:rsidR="00661EAE">
        <w:rPr>
          <w:rFonts w:asciiTheme="minorHAnsi" w:hAnsiTheme="minorHAnsi" w:cstheme="minorHAnsi"/>
          <w:vertAlign w:val="superscript"/>
          <w:lang w:val="en-US"/>
        </w:rPr>
        <w:t>7</w:t>
      </w:r>
      <w:r w:rsidR="00FD2C1D" w:rsidRPr="006E48F2">
        <w:rPr>
          <w:rFonts w:asciiTheme="minorHAnsi" w:hAnsiTheme="minorHAnsi" w:cstheme="minorHAnsi"/>
          <w:lang w:val="en-US"/>
        </w:rPr>
        <w:t xml:space="preserve"> found that nearly half (21 </w:t>
      </w:r>
      <w:r w:rsidR="00417109">
        <w:rPr>
          <w:rFonts w:asciiTheme="minorHAnsi" w:hAnsiTheme="minorHAnsi" w:cstheme="minorHAnsi"/>
          <w:lang w:val="en-US"/>
        </w:rPr>
        <w:t xml:space="preserve">out </w:t>
      </w:r>
      <w:r w:rsidR="00FD2C1D" w:rsidRPr="006E48F2">
        <w:rPr>
          <w:rFonts w:asciiTheme="minorHAnsi" w:hAnsiTheme="minorHAnsi" w:cstheme="minorHAnsi"/>
          <w:lang w:val="en-US"/>
        </w:rPr>
        <w:t xml:space="preserve">of 44, 48%) of the samples assayed had no detectable </w:t>
      </w:r>
      <w:r w:rsidR="008905D9">
        <w:rPr>
          <w:rFonts w:asciiTheme="minorHAnsi" w:hAnsiTheme="minorHAnsi" w:cstheme="minorHAnsi"/>
          <w:lang w:val="en-US"/>
        </w:rPr>
        <w:t>neutralizing</w:t>
      </w:r>
      <w:r w:rsidR="00FD2C1D" w:rsidRPr="006E48F2">
        <w:rPr>
          <w:rFonts w:asciiTheme="minorHAnsi" w:hAnsiTheme="minorHAnsi" w:cstheme="minorHAnsi"/>
          <w:lang w:val="en-US"/>
        </w:rPr>
        <w:t xml:space="preserve"> activity against the 501Y.V2 virus</w:t>
      </w:r>
      <w:r w:rsidR="00F273B8" w:rsidRPr="006E48F2">
        <w:rPr>
          <w:rFonts w:asciiTheme="minorHAnsi" w:hAnsiTheme="minorHAnsi" w:cstheme="minorHAnsi"/>
          <w:lang w:val="en-US"/>
        </w:rPr>
        <w:t xml:space="preserve">. </w:t>
      </w:r>
      <w:r w:rsidR="00F273B8">
        <w:rPr>
          <w:rFonts w:asciiTheme="minorHAnsi" w:hAnsiTheme="minorHAnsi" w:cstheme="minorHAnsi"/>
          <w:lang w:val="en-US"/>
        </w:rPr>
        <w:t xml:space="preserve">Differences in the magnitude of the response against the new variants can be explained by the use of different type of viruses in the neutralization assays: </w:t>
      </w:r>
      <w:proofErr w:type="spellStart"/>
      <w:r w:rsidR="00F273B8">
        <w:rPr>
          <w:rFonts w:asciiTheme="minorHAnsi" w:hAnsiTheme="minorHAnsi" w:cstheme="minorHAnsi"/>
          <w:lang w:val="en-US"/>
        </w:rPr>
        <w:t>pseudovirus</w:t>
      </w:r>
      <w:proofErr w:type="spellEnd"/>
      <w:r w:rsidR="00F273B8">
        <w:rPr>
          <w:rFonts w:asciiTheme="minorHAnsi" w:hAnsiTheme="minorHAnsi" w:cstheme="minorHAnsi"/>
          <w:lang w:val="en-US"/>
        </w:rPr>
        <w:t>, laboratory</w:t>
      </w:r>
      <w:r w:rsidR="005E3D97">
        <w:rPr>
          <w:rFonts w:asciiTheme="minorHAnsi" w:hAnsiTheme="minorHAnsi" w:cstheme="minorHAnsi"/>
          <w:lang w:val="en-US"/>
        </w:rPr>
        <w:t>-</w:t>
      </w:r>
      <w:r w:rsidR="00F273B8">
        <w:rPr>
          <w:rFonts w:asciiTheme="minorHAnsi" w:hAnsiTheme="minorHAnsi" w:cstheme="minorHAnsi"/>
          <w:lang w:val="en-US"/>
        </w:rPr>
        <w:t>cr</w:t>
      </w:r>
      <w:r w:rsidR="005E3D97">
        <w:rPr>
          <w:rFonts w:asciiTheme="minorHAnsi" w:hAnsiTheme="minorHAnsi" w:cstheme="minorHAnsi"/>
          <w:lang w:val="en-US"/>
        </w:rPr>
        <w:t>e</w:t>
      </w:r>
      <w:r w:rsidR="00F273B8">
        <w:rPr>
          <w:rFonts w:asciiTheme="minorHAnsi" w:hAnsiTheme="minorHAnsi" w:cstheme="minorHAnsi"/>
          <w:lang w:val="en-US"/>
        </w:rPr>
        <w:t>ated mutants or wild-type mutant</w:t>
      </w:r>
      <w:r w:rsidR="0045198E">
        <w:rPr>
          <w:rFonts w:asciiTheme="minorHAnsi" w:hAnsiTheme="minorHAnsi" w:cstheme="minorHAnsi"/>
          <w:lang w:val="en-US"/>
        </w:rPr>
        <w:t>s. In that sense</w:t>
      </w:r>
      <w:r w:rsidR="005E3D97">
        <w:rPr>
          <w:rFonts w:asciiTheme="minorHAnsi" w:hAnsiTheme="minorHAnsi" w:cstheme="minorHAnsi"/>
          <w:lang w:val="en-US"/>
        </w:rPr>
        <w:t>,</w:t>
      </w:r>
      <w:r w:rsidR="0045198E">
        <w:rPr>
          <w:rFonts w:asciiTheme="minorHAnsi" w:hAnsiTheme="minorHAnsi" w:cstheme="minorHAnsi"/>
          <w:lang w:val="en-US"/>
        </w:rPr>
        <w:t xml:space="preserve"> wild type mutants may </w:t>
      </w:r>
      <w:r w:rsidR="008307B7">
        <w:rPr>
          <w:rFonts w:asciiTheme="minorHAnsi" w:hAnsiTheme="minorHAnsi" w:cstheme="minorHAnsi"/>
          <w:lang w:val="en-US"/>
        </w:rPr>
        <w:t>harbor</w:t>
      </w:r>
      <w:r w:rsidR="005E3D97">
        <w:rPr>
          <w:rFonts w:asciiTheme="minorHAnsi" w:hAnsiTheme="minorHAnsi" w:cstheme="minorHAnsi"/>
          <w:lang w:val="en-US"/>
        </w:rPr>
        <w:t xml:space="preserve"> </w:t>
      </w:r>
      <w:r w:rsidR="0045198E">
        <w:rPr>
          <w:rFonts w:asciiTheme="minorHAnsi" w:hAnsiTheme="minorHAnsi" w:cstheme="minorHAnsi"/>
          <w:lang w:val="en-US"/>
        </w:rPr>
        <w:t>additional mutations than those present in the spike accounting for such differences</w:t>
      </w:r>
      <w:r w:rsidR="00AB4B0B">
        <w:rPr>
          <w:rFonts w:asciiTheme="minorHAnsi" w:hAnsiTheme="minorHAnsi" w:cstheme="minorHAnsi"/>
          <w:lang w:val="en-US"/>
        </w:rPr>
        <w:t>.</w:t>
      </w:r>
      <w:r w:rsidR="00AB4B0B">
        <w:rPr>
          <w:rFonts w:asciiTheme="minorHAnsi" w:hAnsiTheme="minorHAnsi" w:cstheme="minorHAnsi"/>
          <w:vertAlign w:val="superscript"/>
          <w:lang w:val="en-US"/>
        </w:rPr>
        <w:t>1</w:t>
      </w:r>
      <w:r w:rsidR="00D0372A">
        <w:rPr>
          <w:rFonts w:asciiTheme="minorHAnsi" w:hAnsiTheme="minorHAnsi" w:cstheme="minorHAnsi"/>
          <w:vertAlign w:val="superscript"/>
          <w:lang w:val="en-US"/>
        </w:rPr>
        <w:t>1</w:t>
      </w:r>
      <w:r w:rsidR="0045198E">
        <w:rPr>
          <w:rFonts w:asciiTheme="minorHAnsi" w:hAnsiTheme="minorHAnsi" w:cstheme="minorHAnsi"/>
          <w:lang w:val="en-US"/>
        </w:rPr>
        <w:t xml:space="preserve"> </w:t>
      </w:r>
      <w:r w:rsidR="002D6C4B">
        <w:rPr>
          <w:rFonts w:asciiTheme="minorHAnsi" w:hAnsiTheme="minorHAnsi" w:cstheme="minorHAnsi"/>
          <w:lang w:val="en-US"/>
        </w:rPr>
        <w:t xml:space="preserve">While </w:t>
      </w:r>
      <w:proofErr w:type="spellStart"/>
      <w:r w:rsidR="002D6C4B">
        <w:rPr>
          <w:rFonts w:asciiTheme="minorHAnsi" w:hAnsiTheme="minorHAnsi" w:cstheme="minorHAnsi"/>
          <w:lang w:val="en-US"/>
        </w:rPr>
        <w:t>pseudovirus</w:t>
      </w:r>
      <w:proofErr w:type="spellEnd"/>
      <w:r w:rsidR="002D6C4B">
        <w:rPr>
          <w:rFonts w:asciiTheme="minorHAnsi" w:hAnsiTheme="minorHAnsi" w:cstheme="minorHAnsi"/>
          <w:lang w:val="en-US"/>
        </w:rPr>
        <w:t xml:space="preserve"> assays offer a better understanding of the role </w:t>
      </w:r>
      <w:r w:rsidR="002D6C4B">
        <w:rPr>
          <w:rFonts w:asciiTheme="minorHAnsi" w:hAnsiTheme="minorHAnsi" w:cstheme="minorHAnsi"/>
          <w:lang w:val="en-US"/>
        </w:rPr>
        <w:lastRenderedPageBreak/>
        <w:t xml:space="preserve">of each mutation in the differential responses against each variant, neutralization with wild type variants may reflect more closely the challenges that the new variants pose to the ongoing vaccination campaigns. </w:t>
      </w:r>
      <w:r w:rsidR="007A315E">
        <w:rPr>
          <w:rFonts w:asciiTheme="minorHAnsi" w:hAnsiTheme="minorHAnsi" w:cstheme="minorHAnsi"/>
          <w:lang w:val="en-US"/>
        </w:rPr>
        <w:t xml:space="preserve">Lack of homogeneity in neutralization assays is another factor that hampers comparison between various </w:t>
      </w:r>
      <w:r w:rsidR="005E3D97">
        <w:rPr>
          <w:rFonts w:asciiTheme="minorHAnsi" w:hAnsiTheme="minorHAnsi" w:cstheme="minorHAnsi"/>
          <w:lang w:val="en-US"/>
        </w:rPr>
        <w:t>studies</w:t>
      </w:r>
      <w:r w:rsidR="00AB4B0B">
        <w:rPr>
          <w:rFonts w:asciiTheme="minorHAnsi" w:hAnsiTheme="minorHAnsi" w:cstheme="minorHAnsi"/>
          <w:lang w:val="en-US"/>
        </w:rPr>
        <w:t>.</w:t>
      </w:r>
      <w:r w:rsidR="007A315E">
        <w:rPr>
          <w:rFonts w:asciiTheme="minorHAnsi" w:hAnsiTheme="minorHAnsi" w:cstheme="minorHAnsi"/>
          <w:lang w:val="en-US"/>
        </w:rPr>
        <w:t xml:space="preserve"> We have therefore included values for the recently released international standard to facilitate comparison with future studies and promote the use of such standard</w:t>
      </w:r>
      <w:r w:rsidR="00AB4B0B">
        <w:rPr>
          <w:rFonts w:asciiTheme="minorHAnsi" w:hAnsiTheme="minorHAnsi" w:cstheme="minorHAnsi"/>
          <w:lang w:val="en-US"/>
        </w:rPr>
        <w:t>.</w:t>
      </w:r>
      <w:r w:rsidR="00AB4B0B">
        <w:rPr>
          <w:rFonts w:asciiTheme="minorHAnsi" w:hAnsiTheme="minorHAnsi" w:cstheme="minorHAnsi"/>
          <w:vertAlign w:val="superscript"/>
          <w:lang w:val="en-US"/>
        </w:rPr>
        <w:t>2</w:t>
      </w:r>
      <w:r w:rsidR="00661EAE">
        <w:rPr>
          <w:rFonts w:asciiTheme="minorHAnsi" w:hAnsiTheme="minorHAnsi" w:cstheme="minorHAnsi"/>
          <w:vertAlign w:val="superscript"/>
          <w:lang w:val="en-US"/>
        </w:rPr>
        <w:t>8</w:t>
      </w:r>
    </w:p>
    <w:p w14:paraId="5E275A4E" w14:textId="02CAFD02" w:rsidR="00C445B0" w:rsidRPr="006E48F2" w:rsidRDefault="00F35A52" w:rsidP="00C445B0">
      <w:pPr>
        <w:spacing w:line="480" w:lineRule="auto"/>
        <w:ind w:firstLine="708"/>
        <w:jc w:val="both"/>
        <w:rPr>
          <w:rFonts w:asciiTheme="minorHAnsi" w:hAnsiTheme="minorHAnsi" w:cstheme="minorHAnsi"/>
          <w:lang w:val="en-US"/>
        </w:rPr>
      </w:pPr>
      <w:r>
        <w:rPr>
          <w:rFonts w:asciiTheme="minorHAnsi" w:hAnsiTheme="minorHAnsi" w:cstheme="minorHAnsi"/>
          <w:lang w:val="en-US"/>
        </w:rPr>
        <w:t xml:space="preserve">Interestingly the drop in the neutralizing antibody response was significantly lower in the small sub-group of vaccinees that had suffered from a previous infection </w:t>
      </w:r>
      <w:r w:rsidR="007638A2">
        <w:rPr>
          <w:rFonts w:asciiTheme="minorHAnsi" w:hAnsiTheme="minorHAnsi" w:cstheme="minorHAnsi"/>
          <w:lang w:val="en-US"/>
        </w:rPr>
        <w:t xml:space="preserve">confirmed </w:t>
      </w:r>
      <w:r>
        <w:rPr>
          <w:rFonts w:asciiTheme="minorHAnsi" w:hAnsiTheme="minorHAnsi" w:cstheme="minorHAnsi"/>
          <w:lang w:val="en-US"/>
        </w:rPr>
        <w:t>by a PCR positive result. García-Beltran et al.</w:t>
      </w:r>
      <w:r w:rsidR="00AB4B0B">
        <w:rPr>
          <w:rFonts w:asciiTheme="minorHAnsi" w:hAnsiTheme="minorHAnsi" w:cstheme="minorHAnsi"/>
          <w:vertAlign w:val="superscript"/>
          <w:lang w:val="en-US"/>
        </w:rPr>
        <w:t>1</w:t>
      </w:r>
      <w:r w:rsidR="00D0372A">
        <w:rPr>
          <w:rFonts w:asciiTheme="minorHAnsi" w:hAnsiTheme="minorHAnsi" w:cstheme="minorHAnsi"/>
          <w:vertAlign w:val="superscript"/>
          <w:lang w:val="en-US"/>
        </w:rPr>
        <w:t>1</w:t>
      </w:r>
      <w:r>
        <w:rPr>
          <w:rFonts w:asciiTheme="minorHAnsi" w:hAnsiTheme="minorHAnsi" w:cstheme="minorHAnsi"/>
          <w:lang w:val="en-US"/>
        </w:rPr>
        <w:t xml:space="preserve"> reported </w:t>
      </w:r>
      <w:r w:rsidR="007638A2">
        <w:rPr>
          <w:rFonts w:asciiTheme="minorHAnsi" w:hAnsiTheme="minorHAnsi" w:cstheme="minorHAnsi"/>
          <w:lang w:val="en-US"/>
        </w:rPr>
        <w:t xml:space="preserve">that </w:t>
      </w:r>
      <w:r w:rsidR="00A5068E">
        <w:rPr>
          <w:rFonts w:asciiTheme="minorHAnsi" w:hAnsiTheme="minorHAnsi" w:cstheme="minorHAnsi"/>
          <w:lang w:val="en-US"/>
        </w:rPr>
        <w:t>antibodies</w:t>
      </w:r>
      <w:r>
        <w:rPr>
          <w:rFonts w:asciiTheme="minorHAnsi" w:hAnsiTheme="minorHAnsi" w:cstheme="minorHAnsi"/>
          <w:lang w:val="en-US"/>
        </w:rPr>
        <w:t xml:space="preserve"> have </w:t>
      </w:r>
      <w:r w:rsidR="008307B7">
        <w:rPr>
          <w:rFonts w:asciiTheme="minorHAnsi" w:hAnsiTheme="minorHAnsi" w:cstheme="minorHAnsi"/>
          <w:lang w:val="en-US"/>
        </w:rPr>
        <w:t xml:space="preserve">a </w:t>
      </w:r>
      <w:r>
        <w:rPr>
          <w:rFonts w:asciiTheme="minorHAnsi" w:hAnsiTheme="minorHAnsi" w:cstheme="minorHAnsi"/>
          <w:lang w:val="en-US"/>
        </w:rPr>
        <w:t>reduced but detectable binding to mutant RBD</w:t>
      </w:r>
      <w:r w:rsidR="00BA7021">
        <w:rPr>
          <w:rFonts w:asciiTheme="minorHAnsi" w:hAnsiTheme="minorHAnsi" w:cstheme="minorHAnsi"/>
          <w:lang w:val="en-US"/>
        </w:rPr>
        <w:t>,</w:t>
      </w:r>
      <w:r>
        <w:rPr>
          <w:rFonts w:asciiTheme="minorHAnsi" w:hAnsiTheme="minorHAnsi" w:cstheme="minorHAnsi"/>
          <w:lang w:val="en-US"/>
        </w:rPr>
        <w:t xml:space="preserve"> </w:t>
      </w:r>
      <w:r w:rsidR="00BA7021">
        <w:rPr>
          <w:rFonts w:asciiTheme="minorHAnsi" w:hAnsiTheme="minorHAnsi" w:cstheme="minorHAnsi"/>
          <w:lang w:val="en-US"/>
        </w:rPr>
        <w:t>suggesting</w:t>
      </w:r>
      <w:r>
        <w:rPr>
          <w:rFonts w:asciiTheme="minorHAnsi" w:hAnsiTheme="minorHAnsi" w:cstheme="minorHAnsi"/>
          <w:lang w:val="en-US"/>
        </w:rPr>
        <w:t xml:space="preserve"> that a larger response in the pre-exposed vaccinees explain this difference. </w:t>
      </w:r>
      <w:r w:rsidR="009638C9">
        <w:rPr>
          <w:rFonts w:asciiTheme="minorHAnsi" w:hAnsiTheme="minorHAnsi" w:cstheme="minorHAnsi"/>
          <w:lang w:val="en-US"/>
        </w:rPr>
        <w:t>In addition,</w:t>
      </w:r>
      <w:r w:rsidR="007E679E">
        <w:rPr>
          <w:rFonts w:asciiTheme="minorHAnsi" w:hAnsiTheme="minorHAnsi" w:cstheme="minorHAnsi"/>
          <w:lang w:val="en-US"/>
        </w:rPr>
        <w:t xml:space="preserve"> a previous infection has confronted the immune system of the patient with an array of epitopes</w:t>
      </w:r>
      <w:r w:rsidR="00AB4B0B">
        <w:rPr>
          <w:rFonts w:asciiTheme="minorHAnsi" w:hAnsiTheme="minorHAnsi" w:cstheme="minorHAnsi"/>
          <w:vertAlign w:val="superscript"/>
          <w:lang w:val="en-US"/>
        </w:rPr>
        <w:t>2</w:t>
      </w:r>
      <w:r w:rsidR="00661EAE">
        <w:rPr>
          <w:rFonts w:asciiTheme="minorHAnsi" w:hAnsiTheme="minorHAnsi" w:cstheme="minorHAnsi"/>
          <w:vertAlign w:val="superscript"/>
          <w:lang w:val="en-US"/>
        </w:rPr>
        <w:t>9</w:t>
      </w:r>
      <w:r w:rsidR="00A5068E">
        <w:rPr>
          <w:rFonts w:asciiTheme="minorHAnsi" w:hAnsiTheme="minorHAnsi" w:cstheme="minorHAnsi"/>
          <w:lang w:val="en-US"/>
        </w:rPr>
        <w:t xml:space="preserve"> </w:t>
      </w:r>
      <w:r w:rsidR="007E679E">
        <w:rPr>
          <w:rFonts w:asciiTheme="minorHAnsi" w:hAnsiTheme="minorHAnsi" w:cstheme="minorHAnsi"/>
          <w:lang w:val="en-US"/>
        </w:rPr>
        <w:t>that have triggered a more diversified immune response upon vaccination. Finally, a more advanced maturation of the immune response of these pre-exposed individuals can also be a differential factor for this increased neutralizing response.</w:t>
      </w:r>
      <w:r w:rsidR="008D1846">
        <w:rPr>
          <w:rFonts w:asciiTheme="minorHAnsi" w:hAnsiTheme="minorHAnsi" w:cstheme="minorHAnsi"/>
          <w:lang w:val="en-US"/>
        </w:rPr>
        <w:t xml:space="preserve"> As shown by </w:t>
      </w:r>
      <w:proofErr w:type="spellStart"/>
      <w:r w:rsidR="008D1846">
        <w:rPr>
          <w:rFonts w:asciiTheme="minorHAnsi" w:hAnsiTheme="minorHAnsi" w:cstheme="minorHAnsi"/>
          <w:lang w:val="en-US"/>
        </w:rPr>
        <w:t>Gaebler</w:t>
      </w:r>
      <w:proofErr w:type="spellEnd"/>
      <w:r w:rsidR="008D1846">
        <w:rPr>
          <w:rFonts w:asciiTheme="minorHAnsi" w:hAnsiTheme="minorHAnsi" w:cstheme="minorHAnsi"/>
          <w:lang w:val="en-US"/>
        </w:rPr>
        <w:t xml:space="preserve"> </w:t>
      </w:r>
      <w:r w:rsidR="00E60993">
        <w:rPr>
          <w:rFonts w:asciiTheme="minorHAnsi" w:hAnsiTheme="minorHAnsi" w:cstheme="minorHAnsi"/>
          <w:lang w:val="en-US"/>
        </w:rPr>
        <w:t>e</w:t>
      </w:r>
      <w:r w:rsidR="008D1846">
        <w:rPr>
          <w:rFonts w:asciiTheme="minorHAnsi" w:hAnsiTheme="minorHAnsi" w:cstheme="minorHAnsi"/>
          <w:lang w:val="en-US"/>
        </w:rPr>
        <w:t>t al.</w:t>
      </w:r>
      <w:r w:rsidR="00661EAE">
        <w:rPr>
          <w:rFonts w:asciiTheme="minorHAnsi" w:hAnsiTheme="minorHAnsi" w:cstheme="minorHAnsi"/>
          <w:vertAlign w:val="superscript"/>
          <w:lang w:val="en-US"/>
        </w:rPr>
        <w:t>30</w:t>
      </w:r>
      <w:r w:rsidR="00220EF4">
        <w:rPr>
          <w:rFonts w:asciiTheme="minorHAnsi" w:hAnsiTheme="minorHAnsi" w:cstheme="minorHAnsi"/>
          <w:lang w:val="en-US"/>
        </w:rPr>
        <w:t>,</w:t>
      </w:r>
      <w:r w:rsidR="00E60993">
        <w:rPr>
          <w:rFonts w:asciiTheme="minorHAnsi" w:hAnsiTheme="minorHAnsi" w:cstheme="minorHAnsi"/>
          <w:lang w:val="en-US"/>
        </w:rPr>
        <w:t xml:space="preserve"> </w:t>
      </w:r>
      <w:r w:rsidR="008D1846">
        <w:rPr>
          <w:rFonts w:asciiTheme="minorHAnsi" w:hAnsiTheme="minorHAnsi" w:cstheme="minorHAnsi"/>
          <w:lang w:val="en-US"/>
        </w:rPr>
        <w:t>antibodies expressed by memory B-cells displayed</w:t>
      </w:r>
      <w:r w:rsidR="00220EF4">
        <w:rPr>
          <w:rFonts w:asciiTheme="minorHAnsi" w:hAnsiTheme="minorHAnsi" w:cstheme="minorHAnsi"/>
          <w:lang w:val="en-US"/>
        </w:rPr>
        <w:t xml:space="preserve"> an</w:t>
      </w:r>
      <w:r w:rsidR="008D1846">
        <w:rPr>
          <w:rFonts w:asciiTheme="minorHAnsi" w:hAnsiTheme="minorHAnsi" w:cstheme="minorHAnsi"/>
          <w:lang w:val="en-US"/>
        </w:rPr>
        <w:t xml:space="preserve"> increased resistance to RBD mutations six </w:t>
      </w:r>
      <w:r w:rsidR="005B3DAB">
        <w:rPr>
          <w:rFonts w:asciiTheme="minorHAnsi" w:hAnsiTheme="minorHAnsi" w:cstheme="minorHAnsi"/>
          <w:lang w:val="en-US"/>
        </w:rPr>
        <w:t>months</w:t>
      </w:r>
      <w:r w:rsidR="008D1846">
        <w:rPr>
          <w:rFonts w:asciiTheme="minorHAnsi" w:hAnsiTheme="minorHAnsi" w:cstheme="minorHAnsi"/>
          <w:lang w:val="en-US"/>
        </w:rPr>
        <w:t xml:space="preserve"> after infection.</w:t>
      </w:r>
      <w:r w:rsidR="007E679E">
        <w:rPr>
          <w:rFonts w:asciiTheme="minorHAnsi" w:hAnsiTheme="minorHAnsi" w:cstheme="minorHAnsi"/>
          <w:lang w:val="en-US"/>
        </w:rPr>
        <w:t xml:space="preserve"> In that sense</w:t>
      </w:r>
      <w:r w:rsidR="00220EF4">
        <w:rPr>
          <w:rFonts w:asciiTheme="minorHAnsi" w:hAnsiTheme="minorHAnsi" w:cstheme="minorHAnsi"/>
          <w:lang w:val="en-US"/>
        </w:rPr>
        <w:t>,</w:t>
      </w:r>
      <w:r w:rsidR="007E679E">
        <w:rPr>
          <w:rFonts w:asciiTheme="minorHAnsi" w:hAnsiTheme="minorHAnsi" w:cstheme="minorHAnsi"/>
          <w:lang w:val="en-US"/>
        </w:rPr>
        <w:t xml:space="preserve"> it would be interesting to study the immune responses of vaccinees after a longer </w:t>
      </w:r>
      <w:r w:rsidR="00583BAA">
        <w:rPr>
          <w:rFonts w:asciiTheme="minorHAnsi" w:hAnsiTheme="minorHAnsi" w:cstheme="minorHAnsi"/>
          <w:lang w:val="en-US"/>
        </w:rPr>
        <w:t>period from</w:t>
      </w:r>
      <w:r w:rsidR="007E679E">
        <w:rPr>
          <w:rFonts w:asciiTheme="minorHAnsi" w:hAnsiTheme="minorHAnsi" w:cstheme="minorHAnsi"/>
          <w:lang w:val="en-US"/>
        </w:rPr>
        <w:t xml:space="preserve"> the last immunization dose.</w:t>
      </w:r>
    </w:p>
    <w:p w14:paraId="29303934" w14:textId="230CD7C4" w:rsidR="00C445B0" w:rsidRPr="00C445B0" w:rsidRDefault="00FD2C1D" w:rsidP="00C445B0">
      <w:pPr>
        <w:spacing w:line="480" w:lineRule="auto"/>
        <w:jc w:val="both"/>
        <w:rPr>
          <w:rFonts w:asciiTheme="minorHAnsi" w:hAnsiTheme="minorHAnsi"/>
          <w:lang w:val="en-US"/>
        </w:rPr>
      </w:pPr>
      <w:r w:rsidRPr="006E48F2">
        <w:rPr>
          <w:rFonts w:asciiTheme="minorHAnsi" w:hAnsiTheme="minorHAnsi" w:cstheme="minorHAnsi"/>
          <w:lang w:val="en-US"/>
        </w:rPr>
        <w:tab/>
      </w:r>
      <w:r w:rsidR="00C445B0">
        <w:rPr>
          <w:rFonts w:asciiTheme="minorHAnsi" w:hAnsiTheme="minorHAnsi" w:cstheme="minorHAnsi"/>
          <w:lang w:val="en-US"/>
        </w:rPr>
        <w:t>O</w:t>
      </w:r>
      <w:r w:rsidRPr="006E48F2">
        <w:rPr>
          <w:rFonts w:asciiTheme="minorHAnsi" w:hAnsiTheme="minorHAnsi" w:cstheme="minorHAnsi"/>
          <w:lang w:val="en-US"/>
        </w:rPr>
        <w:t>ur study may have some limitations, such as the low number of participants enrolled that had suffered from a previous SARS</w:t>
      </w:r>
      <w:r w:rsidR="00220EF4">
        <w:rPr>
          <w:rFonts w:asciiTheme="minorHAnsi" w:hAnsiTheme="minorHAnsi" w:cstheme="minorHAnsi"/>
          <w:lang w:val="en-US"/>
        </w:rPr>
        <w:t>-</w:t>
      </w:r>
      <w:r w:rsidRPr="006E48F2">
        <w:rPr>
          <w:rFonts w:asciiTheme="minorHAnsi" w:hAnsiTheme="minorHAnsi" w:cstheme="minorHAnsi"/>
          <w:lang w:val="en-US"/>
        </w:rPr>
        <w:t>CoV</w:t>
      </w:r>
      <w:r w:rsidR="00220EF4">
        <w:rPr>
          <w:rFonts w:asciiTheme="minorHAnsi" w:hAnsiTheme="minorHAnsi" w:cstheme="minorHAnsi"/>
          <w:lang w:val="en-US"/>
        </w:rPr>
        <w:t>-</w:t>
      </w:r>
      <w:r w:rsidRPr="006E48F2">
        <w:rPr>
          <w:rFonts w:asciiTheme="minorHAnsi" w:hAnsiTheme="minorHAnsi" w:cstheme="minorHAnsi"/>
          <w:lang w:val="en-US"/>
        </w:rPr>
        <w:t>2 infection</w:t>
      </w:r>
      <w:r w:rsidR="00C445B0">
        <w:rPr>
          <w:rFonts w:asciiTheme="minorHAnsi" w:hAnsiTheme="minorHAnsi" w:cstheme="minorHAnsi"/>
          <w:lang w:val="en-US"/>
        </w:rPr>
        <w:t xml:space="preserve">, </w:t>
      </w:r>
      <w:r w:rsidR="00C445B0" w:rsidRPr="00C445B0">
        <w:rPr>
          <w:rFonts w:asciiTheme="minorHAnsi" w:hAnsiTheme="minorHAnsi" w:cstheme="minorHAnsi"/>
          <w:highlight w:val="cyan"/>
          <w:lang w:val="en-US"/>
        </w:rPr>
        <w:t xml:space="preserve">and the fact that we did not include other variants of concern, such as the most prevalent </w:t>
      </w:r>
      <w:r w:rsidR="00C445B0" w:rsidRPr="00C445B0">
        <w:rPr>
          <w:rFonts w:asciiTheme="minorHAnsi" w:hAnsiTheme="minorHAnsi"/>
          <w:highlight w:val="cyan"/>
          <w:lang w:val="en-US"/>
        </w:rPr>
        <w:t>latest delta variant (</w:t>
      </w:r>
      <w:r w:rsidR="00C445B0" w:rsidRPr="00C445B0">
        <w:rPr>
          <w:rFonts w:asciiTheme="minorHAnsi" w:hAnsiTheme="minorHAnsi" w:cs="Calibri"/>
          <w:color w:val="000000"/>
          <w:highlight w:val="cyan"/>
          <w:lang w:val="en-US" w:eastAsia="es-ES"/>
        </w:rPr>
        <w:t>B.1.617.2</w:t>
      </w:r>
      <w:r w:rsidR="003719D7">
        <w:rPr>
          <w:rFonts w:asciiTheme="minorHAnsi" w:hAnsiTheme="minorHAnsi" w:cs="Calibri"/>
          <w:color w:val="000000"/>
          <w:highlight w:val="cyan"/>
          <w:lang w:val="en-US" w:eastAsia="es-ES"/>
        </w:rPr>
        <w:t xml:space="preserve"> and its </w:t>
      </w:r>
      <w:proofErr w:type="spellStart"/>
      <w:r w:rsidR="003719D7">
        <w:rPr>
          <w:rFonts w:asciiTheme="minorHAnsi" w:hAnsiTheme="minorHAnsi" w:cs="Calibri"/>
          <w:color w:val="000000"/>
          <w:highlight w:val="cyan"/>
          <w:lang w:val="en-US" w:eastAsia="es-ES"/>
        </w:rPr>
        <w:t>sublineages</w:t>
      </w:r>
      <w:proofErr w:type="spellEnd"/>
      <w:r w:rsidR="00C445B0" w:rsidRPr="00C445B0">
        <w:rPr>
          <w:rFonts w:asciiTheme="minorHAnsi" w:hAnsiTheme="minorHAnsi" w:cs="Calibri"/>
          <w:color w:val="000000"/>
          <w:highlight w:val="cyan"/>
          <w:lang w:val="en-US" w:eastAsia="es-ES"/>
        </w:rPr>
        <w:t>)</w:t>
      </w:r>
      <w:r w:rsidR="00C445B0" w:rsidRPr="00C445B0">
        <w:rPr>
          <w:rFonts w:asciiTheme="minorHAnsi" w:hAnsiTheme="minorHAnsi"/>
          <w:highlight w:val="cyan"/>
          <w:lang w:val="en-US"/>
        </w:rPr>
        <w:t>, that harbors two gene mutations (L452R and P681R in spike) that are suspected to allow delta variant to be the most transmissible variant yet identified</w:t>
      </w:r>
      <w:r w:rsidR="00E4475E">
        <w:rPr>
          <w:rFonts w:asciiTheme="minorHAnsi" w:hAnsiTheme="minorHAnsi"/>
          <w:highlight w:val="cyan"/>
          <w:lang w:val="en-US"/>
        </w:rPr>
        <w:t xml:space="preserve"> </w:t>
      </w:r>
      <w:r w:rsidR="00E4475E" w:rsidRPr="00E4475E">
        <w:rPr>
          <w:rFonts w:asciiTheme="minorHAnsi" w:hAnsiTheme="minorHAnsi"/>
          <w:highlight w:val="cyan"/>
          <w:lang w:val="en-US"/>
        </w:rPr>
        <w:t>(</w:t>
      </w:r>
      <w:proofErr w:type="spellStart"/>
      <w:proofErr w:type="gramStart"/>
      <w:r w:rsidR="00E4475E" w:rsidRPr="00E4475E">
        <w:rPr>
          <w:rFonts w:asciiTheme="minorHAnsi" w:hAnsiTheme="minorHAnsi" w:cstheme="minorHAnsi"/>
          <w:highlight w:val="cyan"/>
          <w:lang w:val="en-US"/>
        </w:rPr>
        <w:t>Mlcochova</w:t>
      </w:r>
      <w:proofErr w:type="spellEnd"/>
      <w:r w:rsidR="00E4475E" w:rsidRPr="00E4475E">
        <w:rPr>
          <w:rFonts w:asciiTheme="minorHAnsi" w:hAnsiTheme="minorHAnsi"/>
          <w:highlight w:val="cyan"/>
          <w:vertAlign w:val="superscript"/>
          <w:lang w:val="en-US"/>
        </w:rPr>
        <w:t xml:space="preserve">  </w:t>
      </w:r>
      <w:r w:rsidR="00E4475E">
        <w:rPr>
          <w:rFonts w:asciiTheme="minorHAnsi" w:hAnsiTheme="minorHAnsi"/>
          <w:highlight w:val="cyan"/>
          <w:lang w:val="en-US"/>
        </w:rPr>
        <w:t>et</w:t>
      </w:r>
      <w:proofErr w:type="gramEnd"/>
      <w:r w:rsidR="00E4475E">
        <w:rPr>
          <w:rFonts w:asciiTheme="minorHAnsi" w:hAnsiTheme="minorHAnsi"/>
          <w:highlight w:val="cyan"/>
          <w:lang w:val="en-US"/>
        </w:rPr>
        <w:t xml:space="preserve"> al</w:t>
      </w:r>
      <w:r w:rsidR="00661EAE">
        <w:rPr>
          <w:rFonts w:asciiTheme="minorHAnsi" w:hAnsiTheme="minorHAnsi"/>
          <w:highlight w:val="cyan"/>
          <w:vertAlign w:val="superscript"/>
          <w:lang w:val="en-US"/>
        </w:rPr>
        <w:t>31</w:t>
      </w:r>
      <w:r w:rsidR="00E4475E">
        <w:rPr>
          <w:rFonts w:asciiTheme="minorHAnsi" w:hAnsiTheme="minorHAnsi"/>
          <w:highlight w:val="cyan"/>
          <w:lang w:val="en-US"/>
        </w:rPr>
        <w:t>)</w:t>
      </w:r>
      <w:r w:rsidR="00C445B0" w:rsidRPr="00C445B0">
        <w:rPr>
          <w:rFonts w:asciiTheme="minorHAnsi" w:hAnsiTheme="minorHAnsi"/>
          <w:highlight w:val="cyan"/>
          <w:lang w:val="en-US"/>
        </w:rPr>
        <w:t>.</w:t>
      </w:r>
      <w:r w:rsidR="00C445B0" w:rsidRPr="00C445B0">
        <w:rPr>
          <w:rFonts w:asciiTheme="minorHAnsi" w:hAnsiTheme="minorHAnsi"/>
          <w:lang w:val="en-US"/>
        </w:rPr>
        <w:t xml:space="preserve"> </w:t>
      </w:r>
    </w:p>
    <w:p w14:paraId="5D01C153" w14:textId="4E6CB844" w:rsidR="003719D7" w:rsidRDefault="00C445B0" w:rsidP="003719D7">
      <w:pPr>
        <w:tabs>
          <w:tab w:val="left" w:pos="3281"/>
        </w:tabs>
        <w:spacing w:line="480" w:lineRule="auto"/>
        <w:ind w:firstLine="709"/>
        <w:jc w:val="both"/>
        <w:rPr>
          <w:rFonts w:cs="Calibri"/>
          <w:color w:val="000000"/>
          <w:lang w:val="en-US" w:eastAsia="es-ES"/>
        </w:rPr>
      </w:pPr>
      <w:r>
        <w:rPr>
          <w:rFonts w:asciiTheme="minorHAnsi" w:hAnsiTheme="minorHAnsi" w:cstheme="minorHAnsi"/>
          <w:lang w:val="en-US"/>
        </w:rPr>
        <w:lastRenderedPageBreak/>
        <w:t xml:space="preserve">Despite the above limitations, </w:t>
      </w:r>
      <w:r w:rsidR="00FD2C1D" w:rsidRPr="006E48F2">
        <w:rPr>
          <w:rFonts w:asciiTheme="minorHAnsi" w:hAnsiTheme="minorHAnsi" w:cstheme="minorHAnsi"/>
          <w:color w:val="000000" w:themeColor="text1"/>
          <w:lang w:val="en-US"/>
        </w:rPr>
        <w:t xml:space="preserve">we </w:t>
      </w:r>
      <w:r w:rsidR="00220EF4">
        <w:rPr>
          <w:rFonts w:asciiTheme="minorHAnsi" w:hAnsiTheme="minorHAnsi" w:cstheme="minorHAnsi"/>
          <w:color w:val="000000" w:themeColor="text1"/>
          <w:lang w:val="en-US"/>
        </w:rPr>
        <w:t>could</w:t>
      </w:r>
      <w:r w:rsidR="00FD2C1D" w:rsidRPr="006E48F2">
        <w:rPr>
          <w:rFonts w:asciiTheme="minorHAnsi" w:hAnsiTheme="minorHAnsi" w:cstheme="minorHAnsi"/>
          <w:color w:val="000000" w:themeColor="text1"/>
          <w:lang w:val="en-US"/>
        </w:rPr>
        <w:t xml:space="preserve"> confirm </w:t>
      </w:r>
      <w:r w:rsidR="00220EF4">
        <w:rPr>
          <w:rFonts w:asciiTheme="minorHAnsi" w:hAnsiTheme="minorHAnsi" w:cstheme="minorHAnsi"/>
          <w:color w:val="000000" w:themeColor="text1"/>
          <w:lang w:val="en-US"/>
        </w:rPr>
        <w:t xml:space="preserve">the results of </w:t>
      </w:r>
      <w:r w:rsidR="00FD2C1D" w:rsidRPr="006E48F2">
        <w:rPr>
          <w:rFonts w:asciiTheme="minorHAnsi" w:hAnsiTheme="minorHAnsi" w:cstheme="minorHAnsi"/>
          <w:color w:val="000000" w:themeColor="text1"/>
          <w:lang w:val="en-US"/>
        </w:rPr>
        <w:t xml:space="preserve">previous studies performed with engineered </w:t>
      </w:r>
      <w:proofErr w:type="spellStart"/>
      <w:r w:rsidR="00FD2C1D" w:rsidRPr="006E48F2">
        <w:rPr>
          <w:rFonts w:asciiTheme="minorHAnsi" w:hAnsiTheme="minorHAnsi" w:cstheme="minorHAnsi"/>
          <w:color w:val="000000" w:themeColor="text1"/>
          <w:lang w:val="en-US"/>
        </w:rPr>
        <w:t>pseudoviruses</w:t>
      </w:r>
      <w:proofErr w:type="spellEnd"/>
      <w:r w:rsidR="009E6F01">
        <w:rPr>
          <w:rFonts w:asciiTheme="minorHAnsi" w:hAnsiTheme="minorHAnsi" w:cstheme="minorHAnsi"/>
          <w:color w:val="000000" w:themeColor="text1"/>
          <w:lang w:val="en-US"/>
        </w:rPr>
        <w:t xml:space="preserve"> with a </w:t>
      </w:r>
      <w:r w:rsidR="009E6F01" w:rsidRPr="006E48F2">
        <w:rPr>
          <w:rFonts w:asciiTheme="minorHAnsi" w:hAnsiTheme="minorHAnsi" w:cstheme="minorHAnsi"/>
          <w:color w:val="000000" w:themeColor="text1"/>
          <w:lang w:val="en-US"/>
        </w:rPr>
        <w:t>higher</w:t>
      </w:r>
      <w:r w:rsidR="00FD2C1D" w:rsidRPr="006E48F2">
        <w:rPr>
          <w:rFonts w:asciiTheme="minorHAnsi" w:hAnsiTheme="minorHAnsi" w:cstheme="minorHAnsi"/>
          <w:color w:val="000000" w:themeColor="text1"/>
          <w:lang w:val="en-US"/>
        </w:rPr>
        <w:t xml:space="preserve"> number of participants using real life isolates of the </w:t>
      </w:r>
      <w:r w:rsidR="00AB7925">
        <w:rPr>
          <w:rFonts w:asciiTheme="minorHAnsi" w:hAnsiTheme="minorHAnsi" w:cstheme="minorHAnsi"/>
          <w:color w:val="000000" w:themeColor="text1"/>
          <w:lang w:val="en-US"/>
        </w:rPr>
        <w:t>B1</w:t>
      </w:r>
      <w:r w:rsidR="00FD2C1D" w:rsidRPr="006E48F2">
        <w:rPr>
          <w:rFonts w:asciiTheme="minorHAnsi" w:hAnsiTheme="minorHAnsi" w:cstheme="minorHAnsi"/>
          <w:color w:val="000000" w:themeColor="text1"/>
          <w:lang w:val="en-US"/>
        </w:rPr>
        <w:t>, B 1.1.7 and B 1.351 SARS</w:t>
      </w:r>
      <w:r w:rsidR="00AB7925">
        <w:rPr>
          <w:rFonts w:asciiTheme="minorHAnsi" w:hAnsiTheme="minorHAnsi" w:cstheme="minorHAnsi"/>
          <w:color w:val="000000" w:themeColor="text1"/>
          <w:lang w:val="en-US"/>
        </w:rPr>
        <w:t>-</w:t>
      </w:r>
      <w:r w:rsidR="00FD2C1D" w:rsidRPr="006E48F2">
        <w:rPr>
          <w:rFonts w:asciiTheme="minorHAnsi" w:hAnsiTheme="minorHAnsi" w:cstheme="minorHAnsi"/>
          <w:color w:val="000000" w:themeColor="text1"/>
          <w:lang w:val="en-US"/>
        </w:rPr>
        <w:t>CoV</w:t>
      </w:r>
      <w:r w:rsidR="00AB7925">
        <w:rPr>
          <w:rFonts w:asciiTheme="minorHAnsi" w:hAnsiTheme="minorHAnsi" w:cstheme="minorHAnsi"/>
          <w:color w:val="000000" w:themeColor="text1"/>
          <w:lang w:val="en-US"/>
        </w:rPr>
        <w:t>-</w:t>
      </w:r>
      <w:r w:rsidR="00FD2C1D" w:rsidRPr="006E48F2">
        <w:rPr>
          <w:rFonts w:asciiTheme="minorHAnsi" w:hAnsiTheme="minorHAnsi" w:cstheme="minorHAnsi"/>
          <w:color w:val="000000" w:themeColor="text1"/>
          <w:lang w:val="en-US"/>
        </w:rPr>
        <w:t xml:space="preserve">2 variants. </w:t>
      </w:r>
      <w:r w:rsidR="00220EF4">
        <w:rPr>
          <w:rFonts w:asciiTheme="minorHAnsi" w:hAnsiTheme="minorHAnsi" w:cstheme="minorHAnsi"/>
          <w:lang w:val="en-US"/>
        </w:rPr>
        <w:t>T</w:t>
      </w:r>
      <w:r w:rsidR="00FD2C1D" w:rsidRPr="006E48F2">
        <w:rPr>
          <w:rFonts w:asciiTheme="minorHAnsi" w:hAnsiTheme="minorHAnsi" w:cstheme="minorHAnsi"/>
          <w:lang w:val="en-US"/>
        </w:rPr>
        <w:t xml:space="preserve">he clinical impact of </w:t>
      </w:r>
      <w:r w:rsidR="008905D9">
        <w:rPr>
          <w:rFonts w:asciiTheme="minorHAnsi" w:hAnsiTheme="minorHAnsi" w:cstheme="minorHAnsi"/>
          <w:lang w:val="en-US"/>
        </w:rPr>
        <w:t>neutralizing</w:t>
      </w:r>
      <w:r w:rsidR="00FD2C1D" w:rsidRPr="006E48F2">
        <w:rPr>
          <w:rFonts w:asciiTheme="minorHAnsi" w:hAnsiTheme="minorHAnsi" w:cstheme="minorHAnsi"/>
          <w:lang w:val="en-US"/>
        </w:rPr>
        <w:t xml:space="preserve"> resistance remains uncertain</w:t>
      </w:r>
      <w:r w:rsidR="00220EF4">
        <w:rPr>
          <w:rFonts w:asciiTheme="minorHAnsi" w:hAnsiTheme="minorHAnsi" w:cstheme="minorHAnsi"/>
          <w:lang w:val="en-US"/>
        </w:rPr>
        <w:t xml:space="preserve">; however, </w:t>
      </w:r>
      <w:r w:rsidR="00AB7925">
        <w:rPr>
          <w:rFonts w:asciiTheme="minorHAnsi" w:hAnsiTheme="minorHAnsi" w:cstheme="minorHAnsi"/>
          <w:lang w:val="en-US"/>
        </w:rPr>
        <w:t>our</w:t>
      </w:r>
      <w:r w:rsidR="00FD2C1D" w:rsidRPr="006E48F2">
        <w:rPr>
          <w:rFonts w:asciiTheme="minorHAnsi" w:hAnsiTheme="minorHAnsi" w:cstheme="minorHAnsi"/>
          <w:lang w:val="en-US"/>
        </w:rPr>
        <w:t xml:space="preserve"> results </w:t>
      </w:r>
      <w:r w:rsidR="00AB7925">
        <w:rPr>
          <w:rFonts w:asciiTheme="minorHAnsi" w:hAnsiTheme="minorHAnsi" w:cstheme="minorHAnsi"/>
          <w:lang w:val="en-US"/>
        </w:rPr>
        <w:t>show</w:t>
      </w:r>
      <w:r w:rsidR="00FD2C1D" w:rsidRPr="006E48F2">
        <w:rPr>
          <w:rFonts w:asciiTheme="minorHAnsi" w:hAnsiTheme="minorHAnsi" w:cstheme="minorHAnsi"/>
          <w:lang w:val="en-US"/>
        </w:rPr>
        <w:t xml:space="preserve"> the </w:t>
      </w:r>
      <w:r w:rsidR="00AB7925">
        <w:rPr>
          <w:rFonts w:asciiTheme="minorHAnsi" w:hAnsiTheme="minorHAnsi" w:cstheme="minorHAnsi"/>
          <w:lang w:val="en-US"/>
        </w:rPr>
        <w:t>pot</w:t>
      </w:r>
      <w:r w:rsidR="00FD2C1D" w:rsidRPr="006E48F2">
        <w:rPr>
          <w:rFonts w:asciiTheme="minorHAnsi" w:hAnsiTheme="minorHAnsi" w:cstheme="minorHAnsi"/>
          <w:lang w:val="en-US"/>
        </w:rPr>
        <w:t xml:space="preserve">ential </w:t>
      </w:r>
      <w:r w:rsidR="00AB7925">
        <w:rPr>
          <w:rFonts w:asciiTheme="minorHAnsi" w:hAnsiTheme="minorHAnsi" w:cstheme="minorHAnsi"/>
          <w:lang w:val="en-US"/>
        </w:rPr>
        <w:t xml:space="preserve">of B 1.351 </w:t>
      </w:r>
      <w:r w:rsidR="00FD2C1D" w:rsidRPr="006E48F2">
        <w:rPr>
          <w:rFonts w:asciiTheme="minorHAnsi" w:hAnsiTheme="minorHAnsi" w:cstheme="minorHAnsi"/>
          <w:lang w:val="en-US"/>
        </w:rPr>
        <w:t>variant to escape from neutralizing humoral immunity</w:t>
      </w:r>
      <w:r w:rsidR="003719D7">
        <w:rPr>
          <w:rFonts w:asciiTheme="minorHAnsi" w:hAnsiTheme="minorHAnsi" w:cstheme="minorHAnsi"/>
          <w:lang w:val="en-US"/>
        </w:rPr>
        <w:t xml:space="preserve">, </w:t>
      </w:r>
      <w:r w:rsidR="003719D7" w:rsidRPr="003719D7">
        <w:rPr>
          <w:rFonts w:asciiTheme="minorHAnsi" w:hAnsiTheme="minorHAnsi" w:cstheme="minorHAnsi"/>
          <w:highlight w:val="cyan"/>
          <w:lang w:val="en-US"/>
        </w:rPr>
        <w:t xml:space="preserve">and raises the concern </w:t>
      </w:r>
      <w:r w:rsidR="003719D7" w:rsidRPr="003719D7">
        <w:rPr>
          <w:rFonts w:asciiTheme="minorHAnsi" w:hAnsiTheme="minorHAnsi" w:cs="Calibri"/>
          <w:color w:val="000000"/>
          <w:highlight w:val="cyan"/>
          <w:lang w:val="en-US" w:eastAsia="es-ES"/>
        </w:rPr>
        <w:t xml:space="preserve">on a possible recommendation to public health authorities to provide full vaccination, rather than just one dose, to COVID-19 pre-exposed patients </w:t>
      </w:r>
      <w:r w:rsidR="003719D7">
        <w:rPr>
          <w:rFonts w:asciiTheme="minorHAnsi" w:hAnsiTheme="minorHAnsi" w:cs="Calibri"/>
          <w:color w:val="000000"/>
          <w:highlight w:val="cyan"/>
          <w:lang w:val="en-US" w:eastAsia="es-ES"/>
        </w:rPr>
        <w:t xml:space="preserve">infected with this variant </w:t>
      </w:r>
      <w:r w:rsidR="003719D7" w:rsidRPr="003719D7">
        <w:rPr>
          <w:rFonts w:asciiTheme="minorHAnsi" w:hAnsiTheme="minorHAnsi" w:cs="Calibri"/>
          <w:color w:val="000000"/>
          <w:highlight w:val="cyan"/>
          <w:lang w:val="en-US" w:eastAsia="es-ES"/>
        </w:rPr>
        <w:t>that undergo vaccination with BNT162b2 mRNA.</w:t>
      </w:r>
    </w:p>
    <w:p w14:paraId="223A4CCB" w14:textId="276287A9" w:rsidR="00042E3D" w:rsidRDefault="00AB7925" w:rsidP="00C445B0">
      <w:pPr>
        <w:autoSpaceDE w:val="0"/>
        <w:autoSpaceDN w:val="0"/>
        <w:adjustRightInd w:val="0"/>
        <w:spacing w:line="480" w:lineRule="auto"/>
        <w:ind w:firstLine="708"/>
        <w:jc w:val="both"/>
        <w:rPr>
          <w:rFonts w:asciiTheme="minorHAnsi" w:hAnsiTheme="minorHAnsi" w:cstheme="minorHAnsi"/>
          <w:lang w:val="en-US"/>
        </w:rPr>
      </w:pPr>
      <w:r>
        <w:rPr>
          <w:rFonts w:asciiTheme="minorHAnsi" w:hAnsiTheme="minorHAnsi" w:cstheme="minorHAnsi"/>
          <w:lang w:val="en-US"/>
        </w:rPr>
        <w:t xml:space="preserve"> </w:t>
      </w:r>
      <w:r w:rsidR="00FD2C1D" w:rsidRPr="006E48F2">
        <w:rPr>
          <w:rFonts w:asciiTheme="minorHAnsi" w:hAnsiTheme="minorHAnsi" w:cstheme="minorHAnsi"/>
          <w:lang w:val="en-US"/>
        </w:rPr>
        <w:t xml:space="preserve"> </w:t>
      </w:r>
    </w:p>
    <w:p w14:paraId="67E35C8D" w14:textId="77777777" w:rsidR="00042E3D" w:rsidRDefault="00042E3D">
      <w:pPr>
        <w:rPr>
          <w:rFonts w:asciiTheme="minorHAnsi" w:hAnsiTheme="minorHAnsi" w:cstheme="minorHAnsi"/>
          <w:lang w:val="en-US"/>
        </w:rPr>
      </w:pPr>
      <w:r>
        <w:rPr>
          <w:rFonts w:asciiTheme="minorHAnsi" w:hAnsiTheme="minorHAnsi" w:cstheme="minorHAnsi"/>
          <w:lang w:val="en-US"/>
        </w:rPr>
        <w:br w:type="page"/>
      </w:r>
    </w:p>
    <w:p w14:paraId="0338AA2C" w14:textId="6B8AF96B" w:rsidR="00042E3D" w:rsidRDefault="00042E3D" w:rsidP="00042E3D">
      <w:pPr>
        <w:spacing w:line="480" w:lineRule="auto"/>
        <w:jc w:val="both"/>
        <w:rPr>
          <w:rFonts w:asciiTheme="minorHAnsi" w:hAnsiTheme="minorHAnsi"/>
          <w:color w:val="000000"/>
          <w:lang w:val="en-US"/>
        </w:rPr>
      </w:pPr>
      <w:r w:rsidRPr="00042E3D">
        <w:rPr>
          <w:rFonts w:asciiTheme="minorHAnsi" w:hAnsiTheme="minorHAnsi" w:cstheme="minorHAnsi"/>
          <w:b/>
          <w:bCs/>
          <w:color w:val="000000" w:themeColor="text1"/>
          <w:lang w:val="en-US"/>
        </w:rPr>
        <w:lastRenderedPageBreak/>
        <w:t xml:space="preserve">Funding: </w:t>
      </w:r>
      <w:r w:rsidRPr="00042E3D">
        <w:rPr>
          <w:rFonts w:asciiTheme="minorHAnsi" w:hAnsiTheme="minorHAnsi"/>
          <w:color w:val="000000"/>
          <w:lang w:val="en-US"/>
        </w:rPr>
        <w:t>data have been generated as part of the routine work of </w:t>
      </w:r>
      <w:r>
        <w:rPr>
          <w:rFonts w:asciiTheme="minorHAnsi" w:hAnsiTheme="minorHAnsi"/>
          <w:color w:val="000000"/>
          <w:lang w:val="en-US"/>
        </w:rPr>
        <w:t xml:space="preserve">Hospital Universitario San </w:t>
      </w:r>
      <w:proofErr w:type="spellStart"/>
      <w:r>
        <w:rPr>
          <w:rFonts w:asciiTheme="minorHAnsi" w:hAnsiTheme="minorHAnsi"/>
          <w:color w:val="000000"/>
          <w:lang w:val="en-US"/>
        </w:rPr>
        <w:t>Cecilio</w:t>
      </w:r>
      <w:proofErr w:type="spellEnd"/>
      <w:r>
        <w:rPr>
          <w:rFonts w:asciiTheme="minorHAnsi" w:hAnsiTheme="minorHAnsi"/>
          <w:color w:val="000000"/>
          <w:lang w:val="en-US"/>
        </w:rPr>
        <w:t xml:space="preserve">; neutralization experiments were supported by </w:t>
      </w:r>
      <w:proofErr w:type="spellStart"/>
      <w:r>
        <w:rPr>
          <w:rFonts w:asciiTheme="minorHAnsi" w:hAnsiTheme="minorHAnsi"/>
          <w:color w:val="000000"/>
          <w:lang w:val="en-US"/>
        </w:rPr>
        <w:t>Vircell</w:t>
      </w:r>
      <w:proofErr w:type="spellEnd"/>
      <w:r>
        <w:rPr>
          <w:rFonts w:asciiTheme="minorHAnsi" w:hAnsiTheme="minorHAnsi"/>
          <w:color w:val="000000"/>
          <w:lang w:val="en-US"/>
        </w:rPr>
        <w:t xml:space="preserve"> SL.</w:t>
      </w:r>
    </w:p>
    <w:p w14:paraId="4D8F78D4" w14:textId="3958DB8D" w:rsidR="00676AE9" w:rsidRDefault="00676AE9" w:rsidP="00042E3D">
      <w:pPr>
        <w:spacing w:line="480" w:lineRule="auto"/>
        <w:jc w:val="both"/>
        <w:rPr>
          <w:rFonts w:asciiTheme="minorHAnsi" w:hAnsiTheme="minorHAnsi"/>
          <w:color w:val="000000"/>
          <w:lang w:val="en-US"/>
        </w:rPr>
      </w:pPr>
      <w:r w:rsidRPr="001A66B2">
        <w:rPr>
          <w:rFonts w:asciiTheme="minorHAnsi" w:hAnsiTheme="minorHAnsi"/>
          <w:b/>
          <w:bCs/>
          <w:color w:val="000000"/>
          <w:highlight w:val="cyan"/>
          <w:lang w:val="en-US"/>
        </w:rPr>
        <w:t xml:space="preserve">Conflicts of interest: </w:t>
      </w:r>
      <w:r w:rsidRPr="001A66B2">
        <w:rPr>
          <w:rFonts w:asciiTheme="minorHAnsi" w:hAnsiTheme="minorHAnsi"/>
          <w:color w:val="000000"/>
          <w:highlight w:val="cyan"/>
          <w:lang w:val="en-US"/>
        </w:rPr>
        <w:t>none</w:t>
      </w:r>
    </w:p>
    <w:p w14:paraId="5D90D3F1" w14:textId="5D2F9AC5" w:rsidR="00570454" w:rsidRDefault="00425AA2" w:rsidP="00042E3D">
      <w:pPr>
        <w:spacing w:line="480" w:lineRule="auto"/>
        <w:jc w:val="both"/>
        <w:rPr>
          <w:rFonts w:asciiTheme="minorHAnsi" w:hAnsiTheme="minorHAnsi"/>
          <w:color w:val="000000"/>
          <w:lang w:val="en-US"/>
        </w:rPr>
      </w:pPr>
      <w:r w:rsidRPr="001A66B2">
        <w:rPr>
          <w:rFonts w:asciiTheme="minorHAnsi" w:hAnsiTheme="minorHAnsi"/>
          <w:b/>
          <w:bCs/>
          <w:color w:val="000000"/>
          <w:highlight w:val="cyan"/>
          <w:lang w:val="en-US"/>
        </w:rPr>
        <w:t>Conflicts of interest</w:t>
      </w:r>
      <w:r w:rsidR="00BF55BD">
        <w:rPr>
          <w:rFonts w:asciiTheme="minorHAnsi" w:hAnsiTheme="minorHAnsi"/>
          <w:b/>
          <w:bCs/>
          <w:color w:val="000000"/>
          <w:highlight w:val="cyan"/>
          <w:lang w:val="en-US"/>
        </w:rPr>
        <w:t xml:space="preserve"> on metadata</w:t>
      </w:r>
      <w:r w:rsidRPr="001A66B2">
        <w:rPr>
          <w:rFonts w:asciiTheme="minorHAnsi" w:hAnsiTheme="minorHAnsi"/>
          <w:b/>
          <w:bCs/>
          <w:color w:val="000000"/>
          <w:highlight w:val="cyan"/>
          <w:lang w:val="en-US"/>
        </w:rPr>
        <w:t xml:space="preserve">: </w:t>
      </w:r>
      <w:r w:rsidRPr="001A66B2">
        <w:rPr>
          <w:rFonts w:asciiTheme="minorHAnsi" w:hAnsiTheme="minorHAnsi"/>
          <w:color w:val="000000"/>
          <w:highlight w:val="cyan"/>
          <w:lang w:val="en-US"/>
        </w:rPr>
        <w:t>none</w:t>
      </w:r>
    </w:p>
    <w:p w14:paraId="1C43EFE0" w14:textId="3C9F9917" w:rsidR="001A66B2" w:rsidRPr="001A66B2" w:rsidRDefault="001A66B2" w:rsidP="001A66B2">
      <w:pPr>
        <w:spacing w:line="480" w:lineRule="auto"/>
        <w:jc w:val="both"/>
        <w:rPr>
          <w:rFonts w:asciiTheme="minorHAnsi" w:hAnsiTheme="minorHAnsi" w:cstheme="minorHAnsi"/>
          <w:b/>
          <w:bCs/>
          <w:lang w:val="en-US"/>
        </w:rPr>
      </w:pPr>
      <w:r w:rsidRPr="001A66B2">
        <w:rPr>
          <w:rFonts w:asciiTheme="minorHAnsi" w:hAnsiTheme="minorHAnsi" w:cstheme="minorHAnsi"/>
          <w:b/>
          <w:bCs/>
          <w:highlight w:val="cyan"/>
          <w:lang w:val="en-US"/>
        </w:rPr>
        <w:t xml:space="preserve">Ethics: </w:t>
      </w:r>
      <w:r w:rsidRPr="001A66B2">
        <w:rPr>
          <w:rFonts w:asciiTheme="minorHAnsi" w:hAnsiTheme="minorHAnsi" w:cstheme="minorHAnsi"/>
          <w:highlight w:val="cyan"/>
          <w:lang w:val="en-US"/>
        </w:rPr>
        <w:t xml:space="preserve">The protocol was approved by the Ethics Committee of the Hospital Universitario </w:t>
      </w:r>
      <w:proofErr w:type="spellStart"/>
      <w:r w:rsidRPr="001A66B2">
        <w:rPr>
          <w:rFonts w:asciiTheme="minorHAnsi" w:hAnsiTheme="minorHAnsi" w:cstheme="minorHAnsi"/>
          <w:highlight w:val="cyan"/>
          <w:lang w:val="en-US"/>
        </w:rPr>
        <w:t>Clínico</w:t>
      </w:r>
      <w:proofErr w:type="spellEnd"/>
      <w:r w:rsidRPr="001A66B2">
        <w:rPr>
          <w:rFonts w:asciiTheme="minorHAnsi" w:hAnsiTheme="minorHAnsi" w:cstheme="minorHAnsi"/>
          <w:highlight w:val="cyan"/>
          <w:lang w:val="en-US"/>
        </w:rPr>
        <w:t xml:space="preserve"> San </w:t>
      </w:r>
      <w:proofErr w:type="spellStart"/>
      <w:r w:rsidRPr="001A66B2">
        <w:rPr>
          <w:rFonts w:asciiTheme="minorHAnsi" w:hAnsiTheme="minorHAnsi" w:cstheme="minorHAnsi"/>
          <w:highlight w:val="cyan"/>
          <w:lang w:val="en-US"/>
        </w:rPr>
        <w:t>Cecilio</w:t>
      </w:r>
      <w:proofErr w:type="spellEnd"/>
      <w:r w:rsidRPr="001A66B2">
        <w:rPr>
          <w:rFonts w:asciiTheme="minorHAnsi" w:hAnsiTheme="minorHAnsi" w:cstheme="minorHAnsi"/>
          <w:highlight w:val="cyan"/>
          <w:lang w:val="en-US"/>
        </w:rPr>
        <w:t xml:space="preserve"> (HUSC </w:t>
      </w:r>
      <w:r w:rsidRPr="001A66B2">
        <w:rPr>
          <w:rFonts w:asciiTheme="minorHAnsi" w:hAnsiTheme="minorHAnsi" w:cstheme="minorHAnsi"/>
          <w:color w:val="000000" w:themeColor="text1"/>
          <w:highlight w:val="cyan"/>
          <w:shd w:val="clear" w:color="auto" w:fill="FFFFFF"/>
          <w:lang w:val="en-US"/>
        </w:rPr>
        <w:t>0670-N-21). All participants provided informed consent.</w:t>
      </w:r>
    </w:p>
    <w:p w14:paraId="14064462" w14:textId="77777777" w:rsidR="001A66B2" w:rsidRDefault="001A66B2" w:rsidP="00042E3D">
      <w:pPr>
        <w:spacing w:line="480" w:lineRule="auto"/>
        <w:jc w:val="both"/>
        <w:rPr>
          <w:rFonts w:asciiTheme="minorHAnsi" w:hAnsiTheme="minorHAnsi"/>
          <w:color w:val="000000"/>
          <w:lang w:val="en-US"/>
        </w:rPr>
      </w:pPr>
    </w:p>
    <w:p w14:paraId="195A4320" w14:textId="5DBEA9D4" w:rsidR="00570454" w:rsidRPr="00570454" w:rsidRDefault="00570454" w:rsidP="00570454">
      <w:pPr>
        <w:rPr>
          <w:rFonts w:asciiTheme="minorHAnsi" w:hAnsiTheme="minorHAnsi"/>
          <w:color w:val="000000"/>
          <w:lang w:val="en-US"/>
        </w:rPr>
      </w:pPr>
      <w:r w:rsidRPr="00570454">
        <w:rPr>
          <w:rFonts w:asciiTheme="minorHAnsi" w:hAnsiTheme="minorHAnsi"/>
          <w:b/>
          <w:bCs/>
          <w:color w:val="000000"/>
          <w:lang w:val="en-US"/>
        </w:rPr>
        <w:t xml:space="preserve">Transparency declarations: </w:t>
      </w:r>
      <w:r w:rsidRPr="00570454">
        <w:rPr>
          <w:rFonts w:asciiTheme="minorHAnsi" w:hAnsiTheme="minorHAnsi"/>
          <w:color w:val="000000"/>
          <w:lang w:val="en-US"/>
        </w:rPr>
        <w:t>none to declare</w:t>
      </w:r>
    </w:p>
    <w:p w14:paraId="10AEFDE6" w14:textId="77777777" w:rsidR="00570454" w:rsidRPr="00570454" w:rsidRDefault="00570454" w:rsidP="00042E3D">
      <w:pPr>
        <w:spacing w:line="480" w:lineRule="auto"/>
        <w:jc w:val="both"/>
        <w:rPr>
          <w:rFonts w:asciiTheme="minorHAnsi" w:hAnsiTheme="minorHAnsi"/>
          <w:b/>
          <w:bCs/>
          <w:lang w:val="en-US"/>
        </w:rPr>
      </w:pPr>
    </w:p>
    <w:p w14:paraId="352CA3AC" w14:textId="2FE4F961" w:rsidR="005B3DAB" w:rsidRPr="009E6F01" w:rsidRDefault="005B3DAB" w:rsidP="00042E3D">
      <w:pPr>
        <w:autoSpaceDE w:val="0"/>
        <w:autoSpaceDN w:val="0"/>
        <w:adjustRightInd w:val="0"/>
        <w:spacing w:line="480" w:lineRule="auto"/>
        <w:jc w:val="both"/>
        <w:rPr>
          <w:rFonts w:asciiTheme="minorHAnsi" w:hAnsiTheme="minorHAnsi" w:cstheme="minorHAnsi"/>
          <w:b/>
          <w:bCs/>
          <w:lang w:val="en-US" w:eastAsia="es-ES"/>
        </w:rPr>
      </w:pPr>
      <w:r w:rsidRPr="00042E3D">
        <w:rPr>
          <w:rFonts w:asciiTheme="minorHAnsi" w:hAnsiTheme="minorHAnsi" w:cstheme="minorHAnsi"/>
          <w:b/>
          <w:bCs/>
          <w:lang w:val="en-US" w:eastAsia="es-ES"/>
        </w:rPr>
        <w:br w:type="page"/>
      </w:r>
    </w:p>
    <w:p w14:paraId="5FF5F442" w14:textId="77777777" w:rsidR="00AB693D" w:rsidRPr="00661EAE" w:rsidRDefault="00AB693D" w:rsidP="00AB693D">
      <w:pPr>
        <w:autoSpaceDE w:val="0"/>
        <w:autoSpaceDN w:val="0"/>
        <w:adjustRightInd w:val="0"/>
        <w:spacing w:line="480" w:lineRule="auto"/>
        <w:jc w:val="both"/>
        <w:rPr>
          <w:rFonts w:asciiTheme="minorHAnsi" w:hAnsiTheme="minorHAnsi" w:cstheme="minorHAnsi"/>
          <w:lang w:val="en-US"/>
        </w:rPr>
      </w:pPr>
      <w:r w:rsidRPr="00661EAE">
        <w:rPr>
          <w:rFonts w:asciiTheme="minorHAnsi" w:hAnsiTheme="minorHAnsi" w:cstheme="minorHAnsi"/>
          <w:b/>
          <w:bCs/>
          <w:lang w:val="en-US" w:eastAsia="es-ES"/>
        </w:rPr>
        <w:lastRenderedPageBreak/>
        <w:t xml:space="preserve">References </w:t>
      </w:r>
    </w:p>
    <w:p w14:paraId="79A868A2" w14:textId="77777777" w:rsidR="00AB693D" w:rsidRPr="00AB693D"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1. </w:t>
      </w:r>
      <w:r w:rsidRPr="00AB693D">
        <w:rPr>
          <w:rFonts w:asciiTheme="minorHAnsi" w:hAnsiTheme="minorHAnsi" w:cstheme="minorHAnsi"/>
          <w:lang w:val="en-US"/>
        </w:rPr>
        <w:t xml:space="preserve">Zhou, P., Yang, X.-L., Wang, X.-G., Hu, B., Zhang, L., Zhang, W., … </w:t>
      </w:r>
      <w:proofErr w:type="spellStart"/>
      <w:r w:rsidRPr="00844B47">
        <w:rPr>
          <w:rFonts w:asciiTheme="minorHAnsi" w:hAnsiTheme="minorHAnsi" w:cstheme="minorHAnsi"/>
        </w:rPr>
        <w:t>Shi</w:t>
      </w:r>
      <w:proofErr w:type="spellEnd"/>
      <w:r w:rsidRPr="00844B47">
        <w:rPr>
          <w:rFonts w:asciiTheme="minorHAnsi" w:hAnsiTheme="minorHAnsi" w:cstheme="minorHAnsi"/>
        </w:rPr>
        <w:t xml:space="preserve">, Z.-L. (2020). </w:t>
      </w:r>
      <w:r w:rsidRPr="00AB693D">
        <w:rPr>
          <w:rFonts w:asciiTheme="minorHAnsi" w:hAnsiTheme="minorHAnsi" w:cstheme="minorHAnsi"/>
          <w:lang w:val="en-US"/>
        </w:rPr>
        <w:t xml:space="preserve">A pneumonia outbreak associated with a new coronavirus of probable bat origin. Nature, 579(7798), 270-273. </w:t>
      </w:r>
      <w:hyperlink r:id="rId6" w:history="1">
        <w:r w:rsidRPr="00AB693D">
          <w:rPr>
            <w:rStyle w:val="Hipervnculo"/>
            <w:rFonts w:asciiTheme="minorHAnsi" w:hAnsiTheme="minorHAnsi" w:cstheme="minorHAnsi"/>
            <w:color w:val="auto"/>
            <w:u w:val="none"/>
            <w:lang w:val="en-US"/>
          </w:rPr>
          <w:t>https://doi.org/10.1038/s41586-020-2012-7</w:t>
        </w:r>
      </w:hyperlink>
      <w:r w:rsidRPr="00AB693D">
        <w:rPr>
          <w:rFonts w:asciiTheme="minorHAnsi" w:hAnsiTheme="minorHAnsi" w:cstheme="minorHAnsi"/>
          <w:lang w:val="en-US"/>
        </w:rPr>
        <w:t>.</w:t>
      </w:r>
    </w:p>
    <w:p w14:paraId="4CC2F4D4" w14:textId="77777777" w:rsidR="00AB693D" w:rsidRPr="00844B47"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2. </w:t>
      </w:r>
      <w:bookmarkStart w:id="5" w:name="_Hlk69299309"/>
      <w:r w:rsidRPr="00844B47">
        <w:rPr>
          <w:rFonts w:asciiTheme="minorHAnsi" w:hAnsiTheme="minorHAnsi" w:cstheme="minorHAnsi"/>
          <w:lang w:val="en-US"/>
        </w:rPr>
        <w:t xml:space="preserve">World Health Organization. (2020 March). Coronavirus disease (COVID-2019). Situation report-54. Retrieved from </w:t>
      </w:r>
      <w:r w:rsidRPr="00844B47">
        <w:rPr>
          <w:rStyle w:val="Hipervnculo"/>
          <w:rFonts w:asciiTheme="minorHAnsi" w:hAnsiTheme="minorHAnsi" w:cstheme="minorHAnsi"/>
          <w:color w:val="auto"/>
          <w:u w:val="none"/>
          <w:lang w:val="en-US"/>
        </w:rPr>
        <w:t>https://www.who.int/emergencies/disease/novel-coronavirus-2019/situation-reports</w:t>
      </w:r>
      <w:r w:rsidRPr="00844B47">
        <w:rPr>
          <w:rFonts w:asciiTheme="minorHAnsi" w:hAnsiTheme="minorHAnsi" w:cstheme="minorHAnsi"/>
          <w:lang w:val="en-US"/>
        </w:rPr>
        <w:t>.</w:t>
      </w:r>
      <w:bookmarkEnd w:id="5"/>
    </w:p>
    <w:p w14:paraId="6E374B18" w14:textId="77777777" w:rsidR="00AB693D" w:rsidRPr="00844B47" w:rsidRDefault="00AB693D" w:rsidP="00AB693D">
      <w:pPr>
        <w:spacing w:line="480" w:lineRule="auto"/>
        <w:jc w:val="both"/>
        <w:rPr>
          <w:rFonts w:asciiTheme="minorHAnsi" w:hAnsiTheme="minorHAnsi" w:cstheme="minorHAnsi"/>
        </w:rPr>
      </w:pPr>
      <w:r w:rsidRPr="00844B47">
        <w:rPr>
          <w:rFonts w:asciiTheme="minorHAnsi" w:hAnsiTheme="minorHAnsi" w:cstheme="minorHAnsi"/>
          <w:lang w:val="en-US"/>
        </w:rPr>
        <w:t xml:space="preserve">3. </w:t>
      </w:r>
      <w:r w:rsidRPr="00AB693D">
        <w:rPr>
          <w:rFonts w:asciiTheme="minorHAnsi" w:hAnsiTheme="minorHAnsi" w:cstheme="minorHAnsi"/>
          <w:lang w:val="en-US"/>
        </w:rPr>
        <w:t xml:space="preserve">Wang, Q., Zhang, Y., Wu, L., </w:t>
      </w:r>
      <w:proofErr w:type="spellStart"/>
      <w:r w:rsidRPr="00AB693D">
        <w:rPr>
          <w:rFonts w:asciiTheme="minorHAnsi" w:hAnsiTheme="minorHAnsi" w:cstheme="minorHAnsi"/>
          <w:lang w:val="en-US"/>
        </w:rPr>
        <w:t>Niu</w:t>
      </w:r>
      <w:proofErr w:type="spellEnd"/>
      <w:r w:rsidRPr="00AB693D">
        <w:rPr>
          <w:rFonts w:asciiTheme="minorHAnsi" w:hAnsiTheme="minorHAnsi" w:cstheme="minorHAnsi"/>
          <w:lang w:val="en-US"/>
        </w:rPr>
        <w:t xml:space="preserve">, S., Song, C., Zhang, Z., … </w:t>
      </w:r>
      <w:proofErr w:type="spellStart"/>
      <w:r w:rsidRPr="00844B47">
        <w:rPr>
          <w:rFonts w:asciiTheme="minorHAnsi" w:hAnsiTheme="minorHAnsi" w:cstheme="minorHAnsi"/>
        </w:rPr>
        <w:t>Qi</w:t>
      </w:r>
      <w:proofErr w:type="spellEnd"/>
      <w:r w:rsidRPr="00844B47">
        <w:rPr>
          <w:rFonts w:asciiTheme="minorHAnsi" w:hAnsiTheme="minorHAnsi" w:cstheme="minorHAnsi"/>
        </w:rPr>
        <w:t xml:space="preserve">, J. (2020). </w:t>
      </w:r>
      <w:r w:rsidRPr="00AB693D">
        <w:rPr>
          <w:rFonts w:asciiTheme="minorHAnsi" w:hAnsiTheme="minorHAnsi" w:cstheme="minorHAnsi"/>
          <w:lang w:val="en-US"/>
        </w:rPr>
        <w:t xml:space="preserve">Structural and functional basis of SARS-CoV-2 entry by using human ACE2. </w:t>
      </w:r>
      <w:proofErr w:type="spellStart"/>
      <w:r w:rsidRPr="00844B47">
        <w:rPr>
          <w:rFonts w:asciiTheme="minorHAnsi" w:hAnsiTheme="minorHAnsi" w:cstheme="minorHAnsi"/>
        </w:rPr>
        <w:t>Cell</w:t>
      </w:r>
      <w:proofErr w:type="spellEnd"/>
      <w:r w:rsidRPr="00844B47">
        <w:rPr>
          <w:rFonts w:asciiTheme="minorHAnsi" w:hAnsiTheme="minorHAnsi" w:cstheme="minorHAnsi"/>
        </w:rPr>
        <w:t xml:space="preserve">, 181(4), 894-904.e9. </w:t>
      </w:r>
      <w:hyperlink r:id="rId7" w:history="1">
        <w:r w:rsidRPr="00844B47">
          <w:rPr>
            <w:rStyle w:val="Hipervnculo"/>
            <w:rFonts w:asciiTheme="minorHAnsi" w:hAnsiTheme="minorHAnsi" w:cstheme="minorHAnsi"/>
            <w:color w:val="auto"/>
            <w:u w:val="none"/>
          </w:rPr>
          <w:t>https://doi.org/10.1016/j.cell.2020.03.045</w:t>
        </w:r>
      </w:hyperlink>
      <w:r w:rsidRPr="00844B47">
        <w:rPr>
          <w:rFonts w:asciiTheme="minorHAnsi" w:hAnsiTheme="minorHAnsi" w:cstheme="minorHAnsi"/>
        </w:rPr>
        <w:t>.</w:t>
      </w:r>
    </w:p>
    <w:p w14:paraId="5A48CF01" w14:textId="77777777" w:rsidR="00AB693D" w:rsidRPr="00844B47"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rPr>
        <w:t xml:space="preserve">4. Dan, J. M., </w:t>
      </w:r>
      <w:proofErr w:type="spellStart"/>
      <w:r w:rsidRPr="00844B47">
        <w:rPr>
          <w:rFonts w:asciiTheme="minorHAnsi" w:hAnsiTheme="minorHAnsi" w:cstheme="minorHAnsi"/>
        </w:rPr>
        <w:t>Mateus</w:t>
      </w:r>
      <w:proofErr w:type="spellEnd"/>
      <w:r w:rsidRPr="00844B47">
        <w:rPr>
          <w:rFonts w:asciiTheme="minorHAnsi" w:hAnsiTheme="minorHAnsi" w:cstheme="minorHAnsi"/>
        </w:rPr>
        <w:t xml:space="preserve">, J., </w:t>
      </w:r>
      <w:proofErr w:type="spellStart"/>
      <w:r w:rsidRPr="00844B47">
        <w:rPr>
          <w:rFonts w:asciiTheme="minorHAnsi" w:hAnsiTheme="minorHAnsi" w:cstheme="minorHAnsi"/>
        </w:rPr>
        <w:t>Kato</w:t>
      </w:r>
      <w:proofErr w:type="spellEnd"/>
      <w:r w:rsidRPr="00844B47">
        <w:rPr>
          <w:rFonts w:asciiTheme="minorHAnsi" w:hAnsiTheme="minorHAnsi" w:cstheme="minorHAnsi"/>
        </w:rPr>
        <w:t xml:space="preserve">, Y., </w:t>
      </w:r>
      <w:proofErr w:type="spellStart"/>
      <w:r w:rsidRPr="00844B47">
        <w:rPr>
          <w:rFonts w:asciiTheme="minorHAnsi" w:hAnsiTheme="minorHAnsi" w:cstheme="minorHAnsi"/>
        </w:rPr>
        <w:t>Hastie</w:t>
      </w:r>
      <w:proofErr w:type="spellEnd"/>
      <w:r w:rsidRPr="00844B47">
        <w:rPr>
          <w:rFonts w:asciiTheme="minorHAnsi" w:hAnsiTheme="minorHAnsi" w:cstheme="minorHAnsi"/>
        </w:rPr>
        <w:t xml:space="preserve">, K. M., </w:t>
      </w:r>
      <w:proofErr w:type="spellStart"/>
      <w:r w:rsidRPr="00844B47">
        <w:rPr>
          <w:rFonts w:asciiTheme="minorHAnsi" w:hAnsiTheme="minorHAnsi" w:cstheme="minorHAnsi"/>
        </w:rPr>
        <w:t>Yu</w:t>
      </w:r>
      <w:proofErr w:type="spellEnd"/>
      <w:r w:rsidRPr="00844B47">
        <w:rPr>
          <w:rFonts w:asciiTheme="minorHAnsi" w:hAnsiTheme="minorHAnsi" w:cstheme="minorHAnsi"/>
        </w:rPr>
        <w:t xml:space="preserve">, E. D., </w:t>
      </w:r>
      <w:proofErr w:type="spellStart"/>
      <w:r w:rsidRPr="00844B47">
        <w:rPr>
          <w:rFonts w:asciiTheme="minorHAnsi" w:hAnsiTheme="minorHAnsi" w:cstheme="minorHAnsi"/>
        </w:rPr>
        <w:t>Faliti</w:t>
      </w:r>
      <w:proofErr w:type="spellEnd"/>
      <w:r w:rsidRPr="00844B47">
        <w:rPr>
          <w:rFonts w:asciiTheme="minorHAnsi" w:hAnsiTheme="minorHAnsi" w:cstheme="minorHAnsi"/>
        </w:rPr>
        <w:t xml:space="preserve">, C. E., … </w:t>
      </w:r>
      <w:proofErr w:type="spellStart"/>
      <w:r w:rsidRPr="00844B47">
        <w:rPr>
          <w:rFonts w:asciiTheme="minorHAnsi" w:hAnsiTheme="minorHAnsi" w:cstheme="minorHAnsi"/>
        </w:rPr>
        <w:t>Crotty</w:t>
      </w:r>
      <w:proofErr w:type="spellEnd"/>
      <w:r w:rsidRPr="00844B47">
        <w:rPr>
          <w:rFonts w:asciiTheme="minorHAnsi" w:hAnsiTheme="minorHAnsi" w:cstheme="minorHAnsi"/>
        </w:rPr>
        <w:t xml:space="preserve">, S. (2021). </w:t>
      </w:r>
      <w:r w:rsidRPr="00AB693D">
        <w:rPr>
          <w:rFonts w:asciiTheme="minorHAnsi" w:hAnsiTheme="minorHAnsi" w:cstheme="minorHAnsi"/>
          <w:lang w:val="en-US"/>
        </w:rPr>
        <w:t>Immunological memory to SARS-CoV-2 assessed for up to 8 months after infection. Science, 371(6529), eabf4063. https://doi.org/10.1126/science.abf4063.</w:t>
      </w:r>
    </w:p>
    <w:p w14:paraId="363A39CC" w14:textId="77777777" w:rsidR="00AB693D" w:rsidRPr="00AB693D"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5. </w:t>
      </w:r>
      <w:proofErr w:type="spellStart"/>
      <w:r w:rsidRPr="00AB693D">
        <w:rPr>
          <w:rFonts w:asciiTheme="minorHAnsi" w:hAnsiTheme="minorHAnsi" w:cstheme="minorHAnsi"/>
          <w:lang w:val="en-US"/>
        </w:rPr>
        <w:t>Wajnberg</w:t>
      </w:r>
      <w:proofErr w:type="spellEnd"/>
      <w:r w:rsidRPr="00AB693D">
        <w:rPr>
          <w:rFonts w:asciiTheme="minorHAnsi" w:hAnsiTheme="minorHAnsi" w:cstheme="minorHAnsi"/>
          <w:lang w:val="en-US"/>
        </w:rPr>
        <w:t xml:space="preserve">, A., </w:t>
      </w:r>
      <w:proofErr w:type="spellStart"/>
      <w:r w:rsidRPr="00AB693D">
        <w:rPr>
          <w:rFonts w:asciiTheme="minorHAnsi" w:hAnsiTheme="minorHAnsi" w:cstheme="minorHAnsi"/>
          <w:lang w:val="en-US"/>
        </w:rPr>
        <w:t>Amanat</w:t>
      </w:r>
      <w:proofErr w:type="spellEnd"/>
      <w:r w:rsidRPr="00AB693D">
        <w:rPr>
          <w:rFonts w:asciiTheme="minorHAnsi" w:hAnsiTheme="minorHAnsi" w:cstheme="minorHAnsi"/>
          <w:lang w:val="en-US"/>
        </w:rPr>
        <w:t xml:space="preserve">, F., </w:t>
      </w:r>
      <w:proofErr w:type="spellStart"/>
      <w:r w:rsidRPr="00AB693D">
        <w:rPr>
          <w:rFonts w:asciiTheme="minorHAnsi" w:hAnsiTheme="minorHAnsi" w:cstheme="minorHAnsi"/>
          <w:lang w:val="en-US"/>
        </w:rPr>
        <w:t>Firpo</w:t>
      </w:r>
      <w:proofErr w:type="spellEnd"/>
      <w:r w:rsidRPr="00AB693D">
        <w:rPr>
          <w:rFonts w:asciiTheme="minorHAnsi" w:hAnsiTheme="minorHAnsi" w:cstheme="minorHAnsi"/>
          <w:lang w:val="en-US"/>
        </w:rPr>
        <w:t xml:space="preserve">, A., Altman, D. R., Bailey, M. J., Mansour, M., … </w:t>
      </w:r>
      <w:proofErr w:type="spellStart"/>
      <w:r w:rsidRPr="00844B47">
        <w:rPr>
          <w:rFonts w:asciiTheme="minorHAnsi" w:hAnsiTheme="minorHAnsi" w:cstheme="minorHAnsi"/>
        </w:rPr>
        <w:t>Cordon</w:t>
      </w:r>
      <w:proofErr w:type="spellEnd"/>
      <w:r w:rsidRPr="00844B47">
        <w:rPr>
          <w:rFonts w:asciiTheme="minorHAnsi" w:hAnsiTheme="minorHAnsi" w:cstheme="minorHAnsi"/>
        </w:rPr>
        <w:t xml:space="preserve">-Cardo, C. (2020). </w:t>
      </w:r>
      <w:r w:rsidRPr="00AB693D">
        <w:rPr>
          <w:rFonts w:asciiTheme="minorHAnsi" w:hAnsiTheme="minorHAnsi" w:cstheme="minorHAnsi"/>
          <w:lang w:val="en-US"/>
        </w:rPr>
        <w:t>Robust neutralizing antibodies to SARS-CoV-2 infection persist for months. Science, 370(6521), 1227-1230. https://doi.org/10.1126/science.abd7728.</w:t>
      </w:r>
    </w:p>
    <w:p w14:paraId="72C8182E" w14:textId="77777777" w:rsidR="00AB693D" w:rsidRPr="00844B47" w:rsidRDefault="00AB693D" w:rsidP="00AB693D">
      <w:pPr>
        <w:spacing w:line="480" w:lineRule="auto"/>
        <w:jc w:val="both"/>
        <w:rPr>
          <w:rFonts w:asciiTheme="minorHAnsi" w:hAnsiTheme="minorHAnsi" w:cstheme="minorHAnsi"/>
          <w:lang w:val="en-US"/>
        </w:rPr>
      </w:pPr>
      <w:r w:rsidRPr="00AB693D">
        <w:rPr>
          <w:rFonts w:asciiTheme="minorHAnsi" w:hAnsiTheme="minorHAnsi" w:cstheme="minorHAnsi"/>
          <w:lang w:val="en-US"/>
        </w:rPr>
        <w:t xml:space="preserve">6. </w:t>
      </w:r>
      <w:proofErr w:type="spellStart"/>
      <w:r w:rsidRPr="00AB693D">
        <w:rPr>
          <w:rFonts w:asciiTheme="minorHAnsi" w:hAnsiTheme="minorHAnsi" w:cstheme="minorHAnsi"/>
          <w:lang w:val="en-US"/>
        </w:rPr>
        <w:t>Edara</w:t>
      </w:r>
      <w:proofErr w:type="spellEnd"/>
      <w:r w:rsidRPr="00AB693D">
        <w:rPr>
          <w:rFonts w:asciiTheme="minorHAnsi" w:hAnsiTheme="minorHAnsi" w:cstheme="minorHAnsi"/>
          <w:lang w:val="en-US"/>
        </w:rPr>
        <w:t xml:space="preserve">, V. V., Hudson, W. H., </w:t>
      </w:r>
      <w:proofErr w:type="spellStart"/>
      <w:r w:rsidRPr="00AB693D">
        <w:rPr>
          <w:rFonts w:asciiTheme="minorHAnsi" w:hAnsiTheme="minorHAnsi" w:cstheme="minorHAnsi"/>
          <w:lang w:val="en-US"/>
        </w:rPr>
        <w:t>Xie</w:t>
      </w:r>
      <w:proofErr w:type="spellEnd"/>
      <w:r w:rsidRPr="00AB693D">
        <w:rPr>
          <w:rFonts w:asciiTheme="minorHAnsi" w:hAnsiTheme="minorHAnsi" w:cstheme="minorHAnsi"/>
          <w:lang w:val="en-US"/>
        </w:rPr>
        <w:t>, X., Ahmed, R., &amp; Suthar, M. S. (2021). Neutralizing antibodies against SARS-CoV-2 variants after infection and vaccination. JAMA, 325(18), 1896. https://doi.org/10.1001/jama.2021.4388.</w:t>
      </w:r>
      <w:r w:rsidRPr="00844B47">
        <w:rPr>
          <w:rFonts w:asciiTheme="minorHAnsi" w:hAnsiTheme="minorHAnsi" w:cstheme="minorHAnsi"/>
          <w:lang w:val="en-US"/>
        </w:rPr>
        <w:t xml:space="preserve"> </w:t>
      </w:r>
    </w:p>
    <w:p w14:paraId="01548B16" w14:textId="77777777" w:rsidR="00AB693D" w:rsidRPr="00844B47"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7. </w:t>
      </w:r>
      <w:proofErr w:type="spellStart"/>
      <w:r w:rsidRPr="00AB693D">
        <w:rPr>
          <w:rFonts w:asciiTheme="minorHAnsi" w:hAnsiTheme="minorHAnsi" w:cstheme="minorHAnsi"/>
          <w:lang w:val="en-US"/>
        </w:rPr>
        <w:t>Kalkan</w:t>
      </w:r>
      <w:proofErr w:type="spellEnd"/>
      <w:r w:rsidRPr="00AB693D">
        <w:rPr>
          <w:rFonts w:asciiTheme="minorHAnsi" w:hAnsiTheme="minorHAnsi" w:cstheme="minorHAnsi"/>
          <w:lang w:val="en-US"/>
        </w:rPr>
        <w:t xml:space="preserve"> </w:t>
      </w:r>
      <w:proofErr w:type="spellStart"/>
      <w:r w:rsidRPr="00AB693D">
        <w:rPr>
          <w:rFonts w:asciiTheme="minorHAnsi" w:hAnsiTheme="minorHAnsi" w:cstheme="minorHAnsi"/>
          <w:lang w:val="en-US"/>
        </w:rPr>
        <w:t>Yazıcı</w:t>
      </w:r>
      <w:proofErr w:type="spellEnd"/>
      <w:r w:rsidRPr="00AB693D">
        <w:rPr>
          <w:rFonts w:asciiTheme="minorHAnsi" w:hAnsiTheme="minorHAnsi" w:cstheme="minorHAnsi"/>
          <w:lang w:val="en-US"/>
        </w:rPr>
        <w:t xml:space="preserve">, M., </w:t>
      </w:r>
      <w:proofErr w:type="spellStart"/>
      <w:r w:rsidRPr="00AB693D">
        <w:rPr>
          <w:rFonts w:asciiTheme="minorHAnsi" w:hAnsiTheme="minorHAnsi" w:cstheme="minorHAnsi"/>
          <w:lang w:val="en-US"/>
        </w:rPr>
        <w:t>Koç</w:t>
      </w:r>
      <w:proofErr w:type="spellEnd"/>
      <w:r w:rsidRPr="00AB693D">
        <w:rPr>
          <w:rFonts w:asciiTheme="minorHAnsi" w:hAnsiTheme="minorHAnsi" w:cstheme="minorHAnsi"/>
          <w:lang w:val="en-US"/>
        </w:rPr>
        <w:t xml:space="preserve">, M. M., </w:t>
      </w:r>
      <w:proofErr w:type="spellStart"/>
      <w:r w:rsidRPr="00AB693D">
        <w:rPr>
          <w:rFonts w:asciiTheme="minorHAnsi" w:hAnsiTheme="minorHAnsi" w:cstheme="minorHAnsi"/>
          <w:lang w:val="en-US"/>
        </w:rPr>
        <w:t>Çetin</w:t>
      </w:r>
      <w:proofErr w:type="spellEnd"/>
      <w:r w:rsidRPr="00AB693D">
        <w:rPr>
          <w:rFonts w:asciiTheme="minorHAnsi" w:hAnsiTheme="minorHAnsi" w:cstheme="minorHAnsi"/>
          <w:lang w:val="en-US"/>
        </w:rPr>
        <w:t xml:space="preserve">, N. S., </w:t>
      </w:r>
      <w:proofErr w:type="spellStart"/>
      <w:r w:rsidRPr="00AB693D">
        <w:rPr>
          <w:rFonts w:asciiTheme="minorHAnsi" w:hAnsiTheme="minorHAnsi" w:cstheme="minorHAnsi"/>
          <w:lang w:val="en-US"/>
        </w:rPr>
        <w:t>Karaaslan</w:t>
      </w:r>
      <w:proofErr w:type="spellEnd"/>
      <w:r w:rsidRPr="00AB693D">
        <w:rPr>
          <w:rFonts w:asciiTheme="minorHAnsi" w:hAnsiTheme="minorHAnsi" w:cstheme="minorHAnsi"/>
          <w:lang w:val="en-US"/>
        </w:rPr>
        <w:t xml:space="preserve">, E., Okay, G., </w:t>
      </w:r>
      <w:proofErr w:type="spellStart"/>
      <w:r w:rsidRPr="00AB693D">
        <w:rPr>
          <w:rFonts w:asciiTheme="minorHAnsi" w:hAnsiTheme="minorHAnsi" w:cstheme="minorHAnsi"/>
          <w:lang w:val="en-US"/>
        </w:rPr>
        <w:t>Durdu</w:t>
      </w:r>
      <w:proofErr w:type="spellEnd"/>
      <w:r w:rsidRPr="00AB693D">
        <w:rPr>
          <w:rFonts w:asciiTheme="minorHAnsi" w:hAnsiTheme="minorHAnsi" w:cstheme="minorHAnsi"/>
          <w:lang w:val="en-US"/>
        </w:rPr>
        <w:t xml:space="preserve">, B., … </w:t>
      </w:r>
      <w:proofErr w:type="spellStart"/>
      <w:r w:rsidRPr="00844B47">
        <w:rPr>
          <w:rFonts w:asciiTheme="minorHAnsi" w:hAnsiTheme="minorHAnsi" w:cstheme="minorHAnsi"/>
        </w:rPr>
        <w:t>Doymaz</w:t>
      </w:r>
      <w:proofErr w:type="spellEnd"/>
      <w:r w:rsidRPr="00844B47">
        <w:rPr>
          <w:rFonts w:asciiTheme="minorHAnsi" w:hAnsiTheme="minorHAnsi" w:cstheme="minorHAnsi"/>
        </w:rPr>
        <w:t xml:space="preserve">, M. Z. (2020). </w:t>
      </w:r>
      <w:r w:rsidRPr="00AB693D">
        <w:rPr>
          <w:rFonts w:asciiTheme="minorHAnsi" w:hAnsiTheme="minorHAnsi" w:cstheme="minorHAnsi"/>
          <w:lang w:val="en-US"/>
        </w:rPr>
        <w:t>Discordance between serum neutralizing antibody titers and the recovery from COVID-19. The Journal of Immunology, 205(10), 2719-2725. https://doi.org/10.4049/jimmunol.2000840.</w:t>
      </w:r>
      <w:r w:rsidRPr="00844B47">
        <w:rPr>
          <w:rFonts w:asciiTheme="minorHAnsi" w:hAnsiTheme="minorHAnsi" w:cstheme="minorHAnsi"/>
          <w:lang w:val="en-US"/>
        </w:rPr>
        <w:t xml:space="preserve"> </w:t>
      </w:r>
    </w:p>
    <w:p w14:paraId="23686D89" w14:textId="77777777" w:rsidR="00AB693D" w:rsidRPr="00844B47" w:rsidRDefault="00AB693D" w:rsidP="00AB693D">
      <w:pPr>
        <w:pStyle w:val="Ttulo1"/>
        <w:spacing w:before="0" w:line="480" w:lineRule="auto"/>
        <w:jc w:val="both"/>
        <w:rPr>
          <w:rFonts w:asciiTheme="minorHAnsi" w:hAnsiTheme="minorHAnsi" w:cstheme="minorHAnsi"/>
          <w:color w:val="auto"/>
          <w:sz w:val="24"/>
          <w:szCs w:val="24"/>
          <w:lang w:val="en-US"/>
        </w:rPr>
      </w:pPr>
      <w:r w:rsidRPr="00844B47">
        <w:rPr>
          <w:rFonts w:asciiTheme="minorHAnsi" w:hAnsiTheme="minorHAnsi" w:cstheme="minorHAnsi"/>
          <w:color w:val="auto"/>
          <w:sz w:val="24"/>
          <w:szCs w:val="24"/>
          <w:lang w:val="en-US"/>
        </w:rPr>
        <w:lastRenderedPageBreak/>
        <w:t>8. CDC. (2021 March). SARS-CoV-2 Variant Classifications and Definitions.</w:t>
      </w:r>
      <w:r w:rsidRPr="00844B47">
        <w:rPr>
          <w:rFonts w:asciiTheme="minorHAnsi" w:hAnsiTheme="minorHAnsi" w:cstheme="minorHAnsi"/>
          <w:sz w:val="24"/>
          <w:szCs w:val="24"/>
          <w:lang w:val="en-US"/>
        </w:rPr>
        <w:t xml:space="preserve"> </w:t>
      </w:r>
      <w:r w:rsidRPr="00844B47">
        <w:rPr>
          <w:rFonts w:asciiTheme="minorHAnsi" w:hAnsiTheme="minorHAnsi" w:cstheme="minorHAnsi"/>
          <w:color w:val="auto"/>
          <w:sz w:val="24"/>
          <w:szCs w:val="24"/>
          <w:lang w:val="en-US"/>
        </w:rPr>
        <w:t>Retrieved from</w:t>
      </w:r>
      <w:r>
        <w:rPr>
          <w:rFonts w:asciiTheme="minorHAnsi" w:hAnsiTheme="minorHAnsi" w:cstheme="minorHAnsi"/>
          <w:color w:val="auto"/>
          <w:sz w:val="24"/>
          <w:szCs w:val="24"/>
          <w:lang w:val="en-US"/>
        </w:rPr>
        <w:t xml:space="preserve"> </w:t>
      </w:r>
      <w:hyperlink r:id="rId8" w:history="1">
        <w:r w:rsidRPr="00844B47">
          <w:rPr>
            <w:rStyle w:val="Hipervnculo"/>
            <w:rFonts w:asciiTheme="minorHAnsi" w:hAnsiTheme="minorHAnsi" w:cstheme="minorHAnsi"/>
            <w:color w:val="auto"/>
            <w:sz w:val="24"/>
            <w:szCs w:val="24"/>
            <w:u w:val="none"/>
            <w:lang w:val="en-US"/>
          </w:rPr>
          <w:t>https://www.cdc.gov/coronavirus/2019-ncov/cases-updates/variant-surveillance/variant-info.html</w:t>
        </w:r>
      </w:hyperlink>
    </w:p>
    <w:p w14:paraId="783EF07E" w14:textId="77777777" w:rsidR="00AB693D" w:rsidRPr="00AB693D"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9. </w:t>
      </w:r>
      <w:proofErr w:type="spellStart"/>
      <w:r w:rsidRPr="00AB693D">
        <w:rPr>
          <w:rFonts w:asciiTheme="minorHAnsi" w:hAnsiTheme="minorHAnsi" w:cstheme="minorHAnsi"/>
          <w:lang w:val="en-US"/>
        </w:rPr>
        <w:t>Doria</w:t>
      </w:r>
      <w:proofErr w:type="spellEnd"/>
      <w:r w:rsidRPr="00AB693D">
        <w:rPr>
          <w:rFonts w:asciiTheme="minorHAnsi" w:hAnsiTheme="minorHAnsi" w:cstheme="minorHAnsi"/>
          <w:lang w:val="en-US"/>
        </w:rPr>
        <w:t xml:space="preserve">-Rose, N., Suthar, M. S., Makowski, M., O’Connell, S., McDermott, A. B., </w:t>
      </w:r>
      <w:proofErr w:type="spellStart"/>
      <w:r w:rsidRPr="00AB693D">
        <w:rPr>
          <w:rFonts w:asciiTheme="minorHAnsi" w:hAnsiTheme="minorHAnsi" w:cstheme="minorHAnsi"/>
          <w:lang w:val="en-US"/>
        </w:rPr>
        <w:t>Flach</w:t>
      </w:r>
      <w:proofErr w:type="spellEnd"/>
      <w:r w:rsidRPr="00AB693D">
        <w:rPr>
          <w:rFonts w:asciiTheme="minorHAnsi" w:hAnsiTheme="minorHAnsi" w:cstheme="minorHAnsi"/>
          <w:lang w:val="en-US"/>
        </w:rPr>
        <w:t xml:space="preserve">, B., … </w:t>
      </w:r>
      <w:proofErr w:type="spellStart"/>
      <w:r w:rsidRPr="00844B47">
        <w:rPr>
          <w:rFonts w:asciiTheme="minorHAnsi" w:hAnsiTheme="minorHAnsi" w:cstheme="minorHAnsi"/>
        </w:rPr>
        <w:t>Kunwar</w:t>
      </w:r>
      <w:proofErr w:type="spellEnd"/>
      <w:r w:rsidRPr="00844B47">
        <w:rPr>
          <w:rFonts w:asciiTheme="minorHAnsi" w:hAnsiTheme="minorHAnsi" w:cstheme="minorHAnsi"/>
        </w:rPr>
        <w:t xml:space="preserve">, P. (2021). </w:t>
      </w:r>
      <w:r w:rsidRPr="00AB693D">
        <w:rPr>
          <w:rFonts w:asciiTheme="minorHAnsi" w:hAnsiTheme="minorHAnsi" w:cstheme="minorHAnsi"/>
          <w:lang w:val="en-US"/>
        </w:rPr>
        <w:t>Antibody persistence through 6 months after the second dose of mRNA-1273 vaccine for Covid-19. New England Journal of Medicine, 384(23), 2259-2261. https://doi.org/10.1056/NEJMc2103916.</w:t>
      </w:r>
    </w:p>
    <w:p w14:paraId="219D014E" w14:textId="77777777" w:rsidR="00AB693D" w:rsidRPr="00AB693D"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10. </w:t>
      </w:r>
      <w:r w:rsidRPr="00A43271">
        <w:rPr>
          <w:rFonts w:asciiTheme="minorHAnsi" w:hAnsiTheme="minorHAnsi" w:cstheme="minorHAnsi"/>
          <w:lang w:val="en-US"/>
        </w:rPr>
        <w:t xml:space="preserve">Greaney, A. J., Starr, T. N., </w:t>
      </w:r>
      <w:proofErr w:type="spellStart"/>
      <w:r w:rsidRPr="00A43271">
        <w:rPr>
          <w:rFonts w:asciiTheme="minorHAnsi" w:hAnsiTheme="minorHAnsi" w:cstheme="minorHAnsi"/>
          <w:lang w:val="en-US"/>
        </w:rPr>
        <w:t>Gilchuk</w:t>
      </w:r>
      <w:proofErr w:type="spellEnd"/>
      <w:r w:rsidRPr="00A43271">
        <w:rPr>
          <w:rFonts w:asciiTheme="minorHAnsi" w:hAnsiTheme="minorHAnsi" w:cstheme="minorHAnsi"/>
          <w:lang w:val="en-US"/>
        </w:rPr>
        <w:t xml:space="preserve">, P., </w:t>
      </w:r>
      <w:proofErr w:type="spellStart"/>
      <w:r w:rsidRPr="00A43271">
        <w:rPr>
          <w:rFonts w:asciiTheme="minorHAnsi" w:hAnsiTheme="minorHAnsi" w:cstheme="minorHAnsi"/>
          <w:lang w:val="en-US"/>
        </w:rPr>
        <w:t>Zost</w:t>
      </w:r>
      <w:proofErr w:type="spellEnd"/>
      <w:r w:rsidRPr="00A43271">
        <w:rPr>
          <w:rFonts w:asciiTheme="minorHAnsi" w:hAnsiTheme="minorHAnsi" w:cstheme="minorHAnsi"/>
          <w:lang w:val="en-US"/>
        </w:rPr>
        <w:t xml:space="preserve">, S. J., </w:t>
      </w:r>
      <w:proofErr w:type="spellStart"/>
      <w:r w:rsidRPr="00A43271">
        <w:rPr>
          <w:rFonts w:asciiTheme="minorHAnsi" w:hAnsiTheme="minorHAnsi" w:cstheme="minorHAnsi"/>
          <w:lang w:val="en-US"/>
        </w:rPr>
        <w:t>Binshtein</w:t>
      </w:r>
      <w:proofErr w:type="spellEnd"/>
      <w:r w:rsidRPr="00A43271">
        <w:rPr>
          <w:rFonts w:asciiTheme="minorHAnsi" w:hAnsiTheme="minorHAnsi" w:cstheme="minorHAnsi"/>
          <w:lang w:val="en-US"/>
        </w:rPr>
        <w:t xml:space="preserve">, E., </w:t>
      </w:r>
      <w:proofErr w:type="spellStart"/>
      <w:r w:rsidRPr="00A43271">
        <w:rPr>
          <w:rFonts w:asciiTheme="minorHAnsi" w:hAnsiTheme="minorHAnsi" w:cstheme="minorHAnsi"/>
          <w:lang w:val="en-US"/>
        </w:rPr>
        <w:t>Loes</w:t>
      </w:r>
      <w:proofErr w:type="spellEnd"/>
      <w:r w:rsidRPr="00A43271">
        <w:rPr>
          <w:rFonts w:asciiTheme="minorHAnsi" w:hAnsiTheme="minorHAnsi" w:cstheme="minorHAnsi"/>
          <w:lang w:val="en-US"/>
        </w:rPr>
        <w:t xml:space="preserve">, A. N., … </w:t>
      </w:r>
      <w:r w:rsidRPr="00844B47">
        <w:rPr>
          <w:rFonts w:asciiTheme="minorHAnsi" w:hAnsiTheme="minorHAnsi" w:cstheme="minorHAnsi"/>
        </w:rPr>
        <w:t xml:space="preserve">Bloom, J. D. (2021). </w:t>
      </w:r>
      <w:r w:rsidRPr="00A43271">
        <w:rPr>
          <w:rFonts w:asciiTheme="minorHAnsi" w:hAnsiTheme="minorHAnsi" w:cstheme="minorHAnsi"/>
          <w:lang w:val="en-US"/>
        </w:rPr>
        <w:t xml:space="preserve">Complete mapping of mutations to the SARS-CoV-2 spike receptor-binding domain that escape antibody recognition. </w:t>
      </w:r>
      <w:r w:rsidRPr="00AB693D">
        <w:rPr>
          <w:rFonts w:asciiTheme="minorHAnsi" w:hAnsiTheme="minorHAnsi" w:cstheme="minorHAnsi"/>
          <w:lang w:val="en-US"/>
        </w:rPr>
        <w:t>Cell Host &amp; Microbe, 29(1), 44-</w:t>
      </w:r>
      <w:proofErr w:type="gramStart"/>
      <w:r w:rsidRPr="00AB693D">
        <w:rPr>
          <w:rFonts w:asciiTheme="minorHAnsi" w:hAnsiTheme="minorHAnsi" w:cstheme="minorHAnsi"/>
          <w:lang w:val="en-US"/>
        </w:rPr>
        <w:t>57.e</w:t>
      </w:r>
      <w:proofErr w:type="gramEnd"/>
      <w:r w:rsidRPr="00AB693D">
        <w:rPr>
          <w:rFonts w:asciiTheme="minorHAnsi" w:hAnsiTheme="minorHAnsi" w:cstheme="minorHAnsi"/>
          <w:lang w:val="en-US"/>
        </w:rPr>
        <w:t>9. https://doi.org/10.1016/j.chom.2020.11.007.</w:t>
      </w:r>
    </w:p>
    <w:p w14:paraId="1F47E262" w14:textId="77777777" w:rsidR="00AB693D" w:rsidRPr="00AB693D" w:rsidRDefault="00AB693D" w:rsidP="00AB693D">
      <w:pPr>
        <w:spacing w:line="480" w:lineRule="auto"/>
        <w:jc w:val="both"/>
        <w:rPr>
          <w:rFonts w:asciiTheme="minorHAnsi" w:hAnsiTheme="minorHAnsi" w:cstheme="minorHAnsi"/>
          <w:lang w:eastAsia="es-ES"/>
        </w:rPr>
      </w:pPr>
      <w:r w:rsidRPr="00844B47">
        <w:rPr>
          <w:rFonts w:asciiTheme="minorHAnsi" w:hAnsiTheme="minorHAnsi" w:cstheme="minorHAnsi"/>
          <w:lang w:val="en-US"/>
        </w:rPr>
        <w:t xml:space="preserve">11. </w:t>
      </w:r>
      <w:r w:rsidRPr="00AB693D">
        <w:rPr>
          <w:rFonts w:asciiTheme="minorHAnsi" w:hAnsiTheme="minorHAnsi" w:cstheme="minorHAnsi"/>
          <w:lang w:val="en-US"/>
        </w:rPr>
        <w:t xml:space="preserve">Garcia-Beltran, W. F., Lam, E. C., St. Denis, K., </w:t>
      </w:r>
      <w:proofErr w:type="spellStart"/>
      <w:r w:rsidRPr="00AB693D">
        <w:rPr>
          <w:rFonts w:asciiTheme="minorHAnsi" w:hAnsiTheme="minorHAnsi" w:cstheme="minorHAnsi"/>
          <w:lang w:val="en-US"/>
        </w:rPr>
        <w:t>Nitido</w:t>
      </w:r>
      <w:proofErr w:type="spellEnd"/>
      <w:r w:rsidRPr="00AB693D">
        <w:rPr>
          <w:rFonts w:asciiTheme="minorHAnsi" w:hAnsiTheme="minorHAnsi" w:cstheme="minorHAnsi"/>
          <w:lang w:val="en-US"/>
        </w:rPr>
        <w:t xml:space="preserve">, A. D., Garcia, Z. H., Hauser, B. M., … </w:t>
      </w:r>
      <w:proofErr w:type="spellStart"/>
      <w:r w:rsidRPr="00844B47">
        <w:rPr>
          <w:rFonts w:asciiTheme="minorHAnsi" w:hAnsiTheme="minorHAnsi" w:cstheme="minorHAnsi"/>
        </w:rPr>
        <w:t>Balazs</w:t>
      </w:r>
      <w:proofErr w:type="spellEnd"/>
      <w:r w:rsidRPr="00844B47">
        <w:rPr>
          <w:rFonts w:asciiTheme="minorHAnsi" w:hAnsiTheme="minorHAnsi" w:cstheme="minorHAnsi"/>
        </w:rPr>
        <w:t xml:space="preserve">, A. B. (2021). </w:t>
      </w:r>
      <w:r w:rsidRPr="00AB693D">
        <w:rPr>
          <w:rFonts w:asciiTheme="minorHAnsi" w:hAnsiTheme="minorHAnsi" w:cstheme="minorHAnsi"/>
          <w:lang w:val="en-US"/>
        </w:rPr>
        <w:t xml:space="preserve">Multiple SARS-CoV-2 variants escape neutralization by vaccine-induced humoral immunity. </w:t>
      </w:r>
      <w:proofErr w:type="spellStart"/>
      <w:r w:rsidRPr="00844B47">
        <w:rPr>
          <w:rFonts w:asciiTheme="minorHAnsi" w:hAnsiTheme="minorHAnsi" w:cstheme="minorHAnsi"/>
        </w:rPr>
        <w:t>Cell</w:t>
      </w:r>
      <w:proofErr w:type="spellEnd"/>
      <w:r w:rsidRPr="00844B47">
        <w:rPr>
          <w:rFonts w:asciiTheme="minorHAnsi" w:hAnsiTheme="minorHAnsi" w:cstheme="minorHAnsi"/>
        </w:rPr>
        <w:t>, 184(9), 2372-2383.e9. https://doi.org/10.1016/j.cell.2021.03.013.</w:t>
      </w:r>
    </w:p>
    <w:p w14:paraId="23C4834C" w14:textId="77777777" w:rsidR="00AB693D" w:rsidRPr="00AB693D" w:rsidRDefault="00AB693D" w:rsidP="00AB693D">
      <w:pPr>
        <w:spacing w:line="480" w:lineRule="auto"/>
        <w:jc w:val="both"/>
        <w:rPr>
          <w:rFonts w:asciiTheme="minorHAnsi" w:hAnsiTheme="minorHAnsi" w:cstheme="minorHAnsi"/>
          <w:lang w:val="en-US"/>
        </w:rPr>
      </w:pPr>
      <w:r w:rsidRPr="00AB693D">
        <w:rPr>
          <w:rFonts w:asciiTheme="minorHAnsi" w:hAnsiTheme="minorHAnsi" w:cstheme="minorHAnsi"/>
        </w:rPr>
        <w:t xml:space="preserve">12. </w:t>
      </w:r>
      <w:proofErr w:type="spellStart"/>
      <w:r w:rsidRPr="00844B47">
        <w:rPr>
          <w:rFonts w:asciiTheme="minorHAnsi" w:hAnsiTheme="minorHAnsi" w:cstheme="minorHAnsi"/>
        </w:rPr>
        <w:t>Andreano</w:t>
      </w:r>
      <w:proofErr w:type="spellEnd"/>
      <w:r w:rsidRPr="00844B47">
        <w:rPr>
          <w:rFonts w:asciiTheme="minorHAnsi" w:hAnsiTheme="minorHAnsi" w:cstheme="minorHAnsi"/>
        </w:rPr>
        <w:t xml:space="preserve">, E., </w:t>
      </w:r>
      <w:proofErr w:type="spellStart"/>
      <w:r w:rsidRPr="00844B47">
        <w:rPr>
          <w:rFonts w:asciiTheme="minorHAnsi" w:hAnsiTheme="minorHAnsi" w:cstheme="minorHAnsi"/>
        </w:rPr>
        <w:t>Piccini</w:t>
      </w:r>
      <w:proofErr w:type="spellEnd"/>
      <w:r w:rsidRPr="00844B47">
        <w:rPr>
          <w:rFonts w:asciiTheme="minorHAnsi" w:hAnsiTheme="minorHAnsi" w:cstheme="minorHAnsi"/>
        </w:rPr>
        <w:t xml:space="preserve">, G., </w:t>
      </w:r>
      <w:proofErr w:type="spellStart"/>
      <w:r w:rsidRPr="00844B47">
        <w:rPr>
          <w:rFonts w:asciiTheme="minorHAnsi" w:hAnsiTheme="minorHAnsi" w:cstheme="minorHAnsi"/>
        </w:rPr>
        <w:t>Licastro</w:t>
      </w:r>
      <w:proofErr w:type="spellEnd"/>
      <w:r w:rsidRPr="00844B47">
        <w:rPr>
          <w:rFonts w:asciiTheme="minorHAnsi" w:hAnsiTheme="minorHAnsi" w:cstheme="minorHAnsi"/>
        </w:rPr>
        <w:t xml:space="preserve">, D., </w:t>
      </w:r>
      <w:proofErr w:type="spellStart"/>
      <w:r w:rsidRPr="00844B47">
        <w:rPr>
          <w:rFonts w:asciiTheme="minorHAnsi" w:hAnsiTheme="minorHAnsi" w:cstheme="minorHAnsi"/>
        </w:rPr>
        <w:t>Casalino</w:t>
      </w:r>
      <w:proofErr w:type="spellEnd"/>
      <w:r w:rsidRPr="00844B47">
        <w:rPr>
          <w:rFonts w:asciiTheme="minorHAnsi" w:hAnsiTheme="minorHAnsi" w:cstheme="minorHAnsi"/>
        </w:rPr>
        <w:t xml:space="preserve">, L., Johnson, N. V., </w:t>
      </w:r>
      <w:proofErr w:type="spellStart"/>
      <w:r w:rsidRPr="00844B47">
        <w:rPr>
          <w:rFonts w:asciiTheme="minorHAnsi" w:hAnsiTheme="minorHAnsi" w:cstheme="minorHAnsi"/>
        </w:rPr>
        <w:t>Paciello</w:t>
      </w:r>
      <w:proofErr w:type="spellEnd"/>
      <w:r w:rsidRPr="00844B47">
        <w:rPr>
          <w:rFonts w:asciiTheme="minorHAnsi" w:hAnsiTheme="minorHAnsi" w:cstheme="minorHAnsi"/>
        </w:rPr>
        <w:t xml:space="preserve">, I., … </w:t>
      </w:r>
      <w:proofErr w:type="spellStart"/>
      <w:r w:rsidRPr="00844B47">
        <w:rPr>
          <w:rFonts w:asciiTheme="minorHAnsi" w:hAnsiTheme="minorHAnsi" w:cstheme="minorHAnsi"/>
        </w:rPr>
        <w:t>Rappuoli</w:t>
      </w:r>
      <w:proofErr w:type="spellEnd"/>
      <w:r w:rsidRPr="00844B47">
        <w:rPr>
          <w:rFonts w:asciiTheme="minorHAnsi" w:hAnsiTheme="minorHAnsi" w:cstheme="minorHAnsi"/>
        </w:rPr>
        <w:t xml:space="preserve">, R. (2020). </w:t>
      </w:r>
      <w:r w:rsidRPr="00AB693D">
        <w:rPr>
          <w:rFonts w:asciiTheme="minorHAnsi" w:hAnsiTheme="minorHAnsi" w:cstheme="minorHAnsi"/>
          <w:lang w:val="en-US"/>
        </w:rPr>
        <w:t xml:space="preserve">SARS-CoV-2 escape in vitro from a highly neutralizing COVID-19 convalescent plasma [Preprint]. Immunology. </w:t>
      </w:r>
    </w:p>
    <w:p w14:paraId="44EDCF34" w14:textId="77777777" w:rsidR="00AB693D" w:rsidRPr="00844B47" w:rsidRDefault="00AB693D" w:rsidP="00AB693D">
      <w:pPr>
        <w:spacing w:line="480" w:lineRule="auto"/>
        <w:jc w:val="both"/>
        <w:rPr>
          <w:rFonts w:asciiTheme="minorHAnsi" w:hAnsiTheme="minorHAnsi" w:cstheme="minorHAnsi"/>
          <w:lang w:val="en-US"/>
        </w:rPr>
      </w:pPr>
      <w:r w:rsidRPr="00AB693D">
        <w:rPr>
          <w:rFonts w:asciiTheme="minorHAnsi" w:hAnsiTheme="minorHAnsi" w:cstheme="minorHAnsi"/>
          <w:lang w:val="en-US"/>
        </w:rPr>
        <w:t>https://doi.org/10.1101/2020.12.28.424451.</w:t>
      </w:r>
    </w:p>
    <w:p w14:paraId="7232DA80" w14:textId="77777777" w:rsidR="00AB693D" w:rsidRPr="00844B47"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13. Wickham H. (2016). Ggplot2: </w:t>
      </w:r>
      <w:r w:rsidRPr="00844B47">
        <w:rPr>
          <w:rStyle w:val="nfasis"/>
          <w:rFonts w:asciiTheme="minorHAnsi" w:hAnsiTheme="minorHAnsi" w:cstheme="minorHAnsi"/>
          <w:i w:val="0"/>
          <w:iCs w:val="0"/>
          <w:lang w:val="en-US"/>
        </w:rPr>
        <w:t>Elegant Graphics for Data Analysis</w:t>
      </w:r>
      <w:r w:rsidRPr="00844B47">
        <w:rPr>
          <w:rFonts w:asciiTheme="minorHAnsi" w:hAnsiTheme="minorHAnsi" w:cstheme="minorHAnsi"/>
          <w:lang w:val="en-US"/>
        </w:rPr>
        <w:t xml:space="preserve">. Springer-Verlag New York. ISBN 978-3-319-24277-4. Retrieved from </w:t>
      </w:r>
      <w:hyperlink r:id="rId9" w:history="1">
        <w:r w:rsidRPr="00844B47">
          <w:rPr>
            <w:rStyle w:val="Hipervnculo"/>
            <w:rFonts w:asciiTheme="minorHAnsi" w:hAnsiTheme="minorHAnsi" w:cstheme="minorHAnsi"/>
            <w:color w:val="auto"/>
            <w:u w:val="none"/>
            <w:shd w:val="clear" w:color="auto" w:fill="FFFFFF"/>
            <w:lang w:val="en-US"/>
          </w:rPr>
          <w:t>https://ggplot2.tidyverse.org</w:t>
        </w:r>
      </w:hyperlink>
      <w:r w:rsidRPr="00844B47">
        <w:rPr>
          <w:rFonts w:asciiTheme="minorHAnsi" w:hAnsiTheme="minorHAnsi" w:cstheme="minorHAnsi"/>
          <w:lang w:val="en-US"/>
        </w:rPr>
        <w:t>.</w:t>
      </w:r>
    </w:p>
    <w:p w14:paraId="23F54DD3" w14:textId="77777777" w:rsidR="00AB693D" w:rsidRPr="00AB693D" w:rsidRDefault="00AB693D" w:rsidP="00AB693D">
      <w:pPr>
        <w:spacing w:line="480" w:lineRule="auto"/>
        <w:jc w:val="both"/>
        <w:rPr>
          <w:rFonts w:asciiTheme="minorHAnsi" w:hAnsiTheme="minorHAnsi" w:cstheme="minorHAnsi"/>
          <w:lang w:val="en-US"/>
        </w:rPr>
      </w:pPr>
      <w:r w:rsidRPr="00844B47">
        <w:rPr>
          <w:rFonts w:asciiTheme="minorHAnsi" w:hAnsiTheme="minorHAnsi" w:cstheme="minorHAnsi"/>
          <w:lang w:val="en-US"/>
        </w:rPr>
        <w:t xml:space="preserve">14. </w:t>
      </w:r>
      <w:r w:rsidRPr="00A43271">
        <w:rPr>
          <w:rFonts w:asciiTheme="minorHAnsi" w:hAnsiTheme="minorHAnsi" w:cstheme="minorHAnsi"/>
          <w:lang w:val="en-US"/>
        </w:rPr>
        <w:t xml:space="preserve">Saadat, S., </w:t>
      </w:r>
      <w:proofErr w:type="spellStart"/>
      <w:r w:rsidRPr="00A43271">
        <w:rPr>
          <w:rFonts w:asciiTheme="minorHAnsi" w:hAnsiTheme="minorHAnsi" w:cstheme="minorHAnsi"/>
          <w:lang w:val="en-US"/>
        </w:rPr>
        <w:t>Rikhtegaran</w:t>
      </w:r>
      <w:proofErr w:type="spellEnd"/>
      <w:r w:rsidRPr="00A43271">
        <w:rPr>
          <w:rFonts w:asciiTheme="minorHAnsi" w:hAnsiTheme="minorHAnsi" w:cstheme="minorHAnsi"/>
          <w:lang w:val="en-US"/>
        </w:rPr>
        <w:t xml:space="preserve"> Tehrani, Z., Logue, J., Newman, M., </w:t>
      </w:r>
      <w:proofErr w:type="spellStart"/>
      <w:r w:rsidRPr="00A43271">
        <w:rPr>
          <w:rFonts w:asciiTheme="minorHAnsi" w:hAnsiTheme="minorHAnsi" w:cstheme="minorHAnsi"/>
          <w:lang w:val="en-US"/>
        </w:rPr>
        <w:t>Frieman</w:t>
      </w:r>
      <w:proofErr w:type="spellEnd"/>
      <w:r w:rsidRPr="00A43271">
        <w:rPr>
          <w:rFonts w:asciiTheme="minorHAnsi" w:hAnsiTheme="minorHAnsi" w:cstheme="minorHAnsi"/>
          <w:lang w:val="en-US"/>
        </w:rPr>
        <w:t xml:space="preserve">, M. B., Harris, A. D., &amp; </w:t>
      </w:r>
      <w:proofErr w:type="spellStart"/>
      <w:r w:rsidRPr="00A43271">
        <w:rPr>
          <w:rFonts w:asciiTheme="minorHAnsi" w:hAnsiTheme="minorHAnsi" w:cstheme="minorHAnsi"/>
          <w:lang w:val="en-US"/>
        </w:rPr>
        <w:t>Sajadi</w:t>
      </w:r>
      <w:proofErr w:type="spellEnd"/>
      <w:r w:rsidRPr="00A43271">
        <w:rPr>
          <w:rFonts w:asciiTheme="minorHAnsi" w:hAnsiTheme="minorHAnsi" w:cstheme="minorHAnsi"/>
          <w:lang w:val="en-US"/>
        </w:rPr>
        <w:t xml:space="preserve">, M. M. (2021). Binding and neutralization antibody titers after a single </w:t>
      </w:r>
      <w:r w:rsidRPr="00A43271">
        <w:rPr>
          <w:rFonts w:asciiTheme="minorHAnsi" w:hAnsiTheme="minorHAnsi" w:cstheme="minorHAnsi"/>
          <w:lang w:val="en-US"/>
        </w:rPr>
        <w:lastRenderedPageBreak/>
        <w:t xml:space="preserve">vaccine dose in health care workers previously infected with SARS-CoV-2. </w:t>
      </w:r>
      <w:r w:rsidRPr="00AB693D">
        <w:rPr>
          <w:rFonts w:asciiTheme="minorHAnsi" w:hAnsiTheme="minorHAnsi" w:cstheme="minorHAnsi"/>
          <w:lang w:val="en-US"/>
        </w:rPr>
        <w:t>JAMA, 325(14), 1467. https://doi.org/10.1001/jama.2021.3341.</w:t>
      </w:r>
    </w:p>
    <w:p w14:paraId="14B74BBB" w14:textId="77777777" w:rsidR="00AB693D" w:rsidRPr="00AB693D" w:rsidRDefault="00AB693D" w:rsidP="00AB693D">
      <w:pPr>
        <w:spacing w:line="480" w:lineRule="auto"/>
        <w:jc w:val="both"/>
        <w:rPr>
          <w:rFonts w:asciiTheme="minorHAnsi" w:hAnsiTheme="minorHAnsi" w:cstheme="minorHAnsi"/>
          <w:shd w:val="clear" w:color="auto" w:fill="FFFFFF"/>
        </w:rPr>
      </w:pPr>
      <w:r w:rsidRPr="00844B47">
        <w:rPr>
          <w:rStyle w:val="meta-citation"/>
          <w:rFonts w:asciiTheme="minorHAnsi" w:hAnsiTheme="minorHAnsi" w:cstheme="minorHAnsi"/>
          <w:lang w:val="en-US"/>
        </w:rPr>
        <w:t xml:space="preserve">15. </w:t>
      </w:r>
      <w:proofErr w:type="spellStart"/>
      <w:r w:rsidRPr="00AB693D">
        <w:rPr>
          <w:rFonts w:asciiTheme="minorHAnsi" w:hAnsiTheme="minorHAnsi" w:cstheme="minorHAnsi"/>
          <w:lang w:val="en-US"/>
        </w:rPr>
        <w:t>Ebinger</w:t>
      </w:r>
      <w:proofErr w:type="spellEnd"/>
      <w:r w:rsidRPr="00AB693D">
        <w:rPr>
          <w:rFonts w:asciiTheme="minorHAnsi" w:hAnsiTheme="minorHAnsi" w:cstheme="minorHAnsi"/>
          <w:lang w:val="en-US"/>
        </w:rPr>
        <w:t>, J. E., Fert-</w:t>
      </w:r>
      <w:proofErr w:type="spellStart"/>
      <w:r w:rsidRPr="00AB693D">
        <w:rPr>
          <w:rFonts w:asciiTheme="minorHAnsi" w:hAnsiTheme="minorHAnsi" w:cstheme="minorHAnsi"/>
          <w:lang w:val="en-US"/>
        </w:rPr>
        <w:t>Bober</w:t>
      </w:r>
      <w:proofErr w:type="spellEnd"/>
      <w:r w:rsidRPr="00AB693D">
        <w:rPr>
          <w:rFonts w:asciiTheme="minorHAnsi" w:hAnsiTheme="minorHAnsi" w:cstheme="minorHAnsi"/>
          <w:lang w:val="en-US"/>
        </w:rPr>
        <w:t xml:space="preserve">, J., </w:t>
      </w:r>
      <w:proofErr w:type="spellStart"/>
      <w:r w:rsidRPr="00AB693D">
        <w:rPr>
          <w:rFonts w:asciiTheme="minorHAnsi" w:hAnsiTheme="minorHAnsi" w:cstheme="minorHAnsi"/>
          <w:lang w:val="en-US"/>
        </w:rPr>
        <w:t>Printsev</w:t>
      </w:r>
      <w:proofErr w:type="spellEnd"/>
      <w:r w:rsidRPr="00AB693D">
        <w:rPr>
          <w:rFonts w:asciiTheme="minorHAnsi" w:hAnsiTheme="minorHAnsi" w:cstheme="minorHAnsi"/>
          <w:lang w:val="en-US"/>
        </w:rPr>
        <w:t xml:space="preserve">, I., Wu, M., Sun, N., </w:t>
      </w:r>
      <w:proofErr w:type="spellStart"/>
      <w:r w:rsidRPr="00AB693D">
        <w:rPr>
          <w:rFonts w:asciiTheme="minorHAnsi" w:hAnsiTheme="minorHAnsi" w:cstheme="minorHAnsi"/>
          <w:lang w:val="en-US"/>
        </w:rPr>
        <w:t>Prostko</w:t>
      </w:r>
      <w:proofErr w:type="spellEnd"/>
      <w:r w:rsidRPr="00AB693D">
        <w:rPr>
          <w:rFonts w:asciiTheme="minorHAnsi" w:hAnsiTheme="minorHAnsi" w:cstheme="minorHAnsi"/>
          <w:lang w:val="en-US"/>
        </w:rPr>
        <w:t xml:space="preserve">, J. C., … </w:t>
      </w:r>
      <w:proofErr w:type="spellStart"/>
      <w:r w:rsidRPr="00844B47">
        <w:rPr>
          <w:rFonts w:asciiTheme="minorHAnsi" w:hAnsiTheme="minorHAnsi" w:cstheme="minorHAnsi"/>
        </w:rPr>
        <w:t>Sobhani</w:t>
      </w:r>
      <w:proofErr w:type="spellEnd"/>
      <w:r w:rsidRPr="00844B47">
        <w:rPr>
          <w:rFonts w:asciiTheme="minorHAnsi" w:hAnsiTheme="minorHAnsi" w:cstheme="minorHAnsi"/>
        </w:rPr>
        <w:t xml:space="preserve">, K. (2021). </w:t>
      </w:r>
      <w:r w:rsidRPr="00AB693D">
        <w:rPr>
          <w:rFonts w:asciiTheme="minorHAnsi" w:hAnsiTheme="minorHAnsi" w:cstheme="minorHAnsi"/>
          <w:lang w:val="en-US"/>
        </w:rPr>
        <w:t xml:space="preserve">Antibody responses to the BNT162b2 mRNA vaccine in individuals previously infected with SARS-CoV-2. </w:t>
      </w:r>
      <w:proofErr w:type="spellStart"/>
      <w:r w:rsidRPr="00844B47">
        <w:rPr>
          <w:rFonts w:asciiTheme="minorHAnsi" w:hAnsiTheme="minorHAnsi" w:cstheme="minorHAnsi"/>
        </w:rPr>
        <w:t>Nature</w:t>
      </w:r>
      <w:proofErr w:type="spellEnd"/>
      <w:r w:rsidRPr="00844B47">
        <w:rPr>
          <w:rFonts w:asciiTheme="minorHAnsi" w:hAnsiTheme="minorHAnsi" w:cstheme="minorHAnsi"/>
        </w:rPr>
        <w:t xml:space="preserve"> Medicine, 27(6), 981-984. https://doi.org/10.1038/s41591-021-01325-6.</w:t>
      </w:r>
    </w:p>
    <w:p w14:paraId="56E101A0" w14:textId="77777777" w:rsidR="00AB693D" w:rsidRPr="00844B47" w:rsidRDefault="00AB693D" w:rsidP="00AB693D">
      <w:pPr>
        <w:spacing w:line="480" w:lineRule="auto"/>
        <w:jc w:val="both"/>
        <w:rPr>
          <w:rStyle w:val="citation-doi"/>
          <w:rFonts w:asciiTheme="minorHAnsi" w:hAnsiTheme="minorHAnsi" w:cstheme="minorHAnsi"/>
          <w:lang w:val="en-US"/>
        </w:rPr>
      </w:pPr>
      <w:r w:rsidRPr="00AB693D">
        <w:rPr>
          <w:rFonts w:asciiTheme="minorHAnsi" w:hAnsiTheme="minorHAnsi" w:cstheme="minorHAnsi"/>
          <w:shd w:val="clear" w:color="auto" w:fill="FFFFFF"/>
        </w:rPr>
        <w:t xml:space="preserve">16. </w:t>
      </w:r>
      <w:proofErr w:type="spellStart"/>
      <w:r w:rsidRPr="00844B47">
        <w:rPr>
          <w:rFonts w:asciiTheme="minorHAnsi" w:hAnsiTheme="minorHAnsi" w:cstheme="minorHAnsi"/>
        </w:rPr>
        <w:t>Nonaka</w:t>
      </w:r>
      <w:proofErr w:type="spellEnd"/>
      <w:r w:rsidRPr="00844B47">
        <w:rPr>
          <w:rFonts w:asciiTheme="minorHAnsi" w:hAnsiTheme="minorHAnsi" w:cstheme="minorHAnsi"/>
        </w:rPr>
        <w:t xml:space="preserve">, C. K. V., Franco, M. M., </w:t>
      </w:r>
      <w:proofErr w:type="spellStart"/>
      <w:r w:rsidRPr="00844B47">
        <w:rPr>
          <w:rFonts w:asciiTheme="minorHAnsi" w:hAnsiTheme="minorHAnsi" w:cstheme="minorHAnsi"/>
        </w:rPr>
        <w:t>Gräf</w:t>
      </w:r>
      <w:proofErr w:type="spellEnd"/>
      <w:r w:rsidRPr="00844B47">
        <w:rPr>
          <w:rFonts w:asciiTheme="minorHAnsi" w:hAnsiTheme="minorHAnsi" w:cstheme="minorHAnsi"/>
        </w:rPr>
        <w:t xml:space="preserve">, T., de Lorenzo Barcia, C. A., de Ávila </w:t>
      </w:r>
      <w:proofErr w:type="spellStart"/>
      <w:r w:rsidRPr="00844B47">
        <w:rPr>
          <w:rFonts w:asciiTheme="minorHAnsi" w:hAnsiTheme="minorHAnsi" w:cstheme="minorHAnsi"/>
        </w:rPr>
        <w:t>Mendonça</w:t>
      </w:r>
      <w:proofErr w:type="spellEnd"/>
      <w:r w:rsidRPr="00844B47">
        <w:rPr>
          <w:rFonts w:asciiTheme="minorHAnsi" w:hAnsiTheme="minorHAnsi" w:cstheme="minorHAnsi"/>
        </w:rPr>
        <w:t xml:space="preserve">, R. N., de Sousa, K. A. F., … de Freitas Souza, B. S. (2021). </w:t>
      </w:r>
      <w:r w:rsidRPr="00AB693D">
        <w:rPr>
          <w:rFonts w:asciiTheme="minorHAnsi" w:hAnsiTheme="minorHAnsi" w:cstheme="minorHAnsi"/>
          <w:lang w:val="en-US"/>
        </w:rPr>
        <w:t>Genomic evidence of SARS-CoV-2 reinfection involving E484K spike mutation, Brazil. Emerging Infectious Diseases, 27(5), 1522-1524. https://doi.org/10.3201/eid2705.210191.</w:t>
      </w:r>
    </w:p>
    <w:p w14:paraId="110835EA" w14:textId="77777777" w:rsidR="00AB693D" w:rsidRPr="00AB693D" w:rsidRDefault="00AB693D" w:rsidP="00AB693D">
      <w:pPr>
        <w:spacing w:line="480" w:lineRule="auto"/>
        <w:jc w:val="both"/>
        <w:rPr>
          <w:rFonts w:asciiTheme="minorHAnsi" w:hAnsiTheme="minorHAnsi" w:cstheme="minorHAnsi"/>
          <w:lang w:val="en-US"/>
        </w:rPr>
      </w:pPr>
      <w:r w:rsidRPr="00844B47">
        <w:rPr>
          <w:rStyle w:val="citation-doi"/>
          <w:rFonts w:asciiTheme="minorHAnsi" w:hAnsiTheme="minorHAnsi" w:cstheme="minorHAnsi"/>
          <w:lang w:val="en-US"/>
        </w:rPr>
        <w:t xml:space="preserve">17. </w:t>
      </w:r>
      <w:proofErr w:type="spellStart"/>
      <w:r w:rsidRPr="00AB693D">
        <w:rPr>
          <w:rFonts w:asciiTheme="minorHAnsi" w:hAnsiTheme="minorHAnsi" w:cstheme="minorHAnsi"/>
          <w:lang w:val="en-US"/>
        </w:rPr>
        <w:t>Jangra</w:t>
      </w:r>
      <w:proofErr w:type="spellEnd"/>
      <w:r w:rsidRPr="00AB693D">
        <w:rPr>
          <w:rFonts w:asciiTheme="minorHAnsi" w:hAnsiTheme="minorHAnsi" w:cstheme="minorHAnsi"/>
          <w:lang w:val="en-US"/>
        </w:rPr>
        <w:t xml:space="preserve">, S., Ye, C., </w:t>
      </w:r>
      <w:proofErr w:type="spellStart"/>
      <w:r w:rsidRPr="00AB693D">
        <w:rPr>
          <w:rFonts w:asciiTheme="minorHAnsi" w:hAnsiTheme="minorHAnsi" w:cstheme="minorHAnsi"/>
          <w:lang w:val="en-US"/>
        </w:rPr>
        <w:t>Rathnasinghe</w:t>
      </w:r>
      <w:proofErr w:type="spellEnd"/>
      <w:r w:rsidRPr="00AB693D">
        <w:rPr>
          <w:rFonts w:asciiTheme="minorHAnsi" w:hAnsiTheme="minorHAnsi" w:cstheme="minorHAnsi"/>
          <w:lang w:val="en-US"/>
        </w:rPr>
        <w:t xml:space="preserve">, R., Stadlbauer, D., </w:t>
      </w:r>
      <w:proofErr w:type="spellStart"/>
      <w:r w:rsidRPr="00AB693D">
        <w:rPr>
          <w:rFonts w:asciiTheme="minorHAnsi" w:hAnsiTheme="minorHAnsi" w:cstheme="minorHAnsi"/>
          <w:lang w:val="en-US"/>
        </w:rPr>
        <w:t>Krammer</w:t>
      </w:r>
      <w:proofErr w:type="spellEnd"/>
      <w:r w:rsidRPr="00AB693D">
        <w:rPr>
          <w:rFonts w:asciiTheme="minorHAnsi" w:hAnsiTheme="minorHAnsi" w:cstheme="minorHAnsi"/>
          <w:lang w:val="en-US"/>
        </w:rPr>
        <w:t xml:space="preserve">, F., Simon, V., … </w:t>
      </w:r>
      <w:proofErr w:type="spellStart"/>
      <w:r w:rsidRPr="00844B47">
        <w:rPr>
          <w:rFonts w:asciiTheme="minorHAnsi" w:hAnsiTheme="minorHAnsi" w:cstheme="minorHAnsi"/>
        </w:rPr>
        <w:t>Srivastava</w:t>
      </w:r>
      <w:proofErr w:type="spellEnd"/>
      <w:r w:rsidRPr="00844B47">
        <w:rPr>
          <w:rFonts w:asciiTheme="minorHAnsi" w:hAnsiTheme="minorHAnsi" w:cstheme="minorHAnsi"/>
        </w:rPr>
        <w:t xml:space="preserve">, K. (2021). </w:t>
      </w:r>
      <w:r w:rsidRPr="00AB693D">
        <w:rPr>
          <w:rFonts w:asciiTheme="minorHAnsi" w:hAnsiTheme="minorHAnsi" w:cstheme="minorHAnsi"/>
          <w:lang w:val="en-US"/>
        </w:rPr>
        <w:t xml:space="preserve">SARS-CoV-2 spike E484K mutation reduces antibody </w:t>
      </w:r>
      <w:proofErr w:type="spellStart"/>
      <w:r w:rsidRPr="00AB693D">
        <w:rPr>
          <w:rFonts w:asciiTheme="minorHAnsi" w:hAnsiTheme="minorHAnsi" w:cstheme="minorHAnsi"/>
          <w:lang w:val="en-US"/>
        </w:rPr>
        <w:t>neutralisation</w:t>
      </w:r>
      <w:proofErr w:type="spellEnd"/>
      <w:r w:rsidRPr="00AB693D">
        <w:rPr>
          <w:rFonts w:asciiTheme="minorHAnsi" w:hAnsiTheme="minorHAnsi" w:cstheme="minorHAnsi"/>
          <w:lang w:val="en-US"/>
        </w:rPr>
        <w:t>. The Lancet Microbe, 2(7), e283-e284. https://doi.org/10.1016/S2666-5247(21)00068-9.</w:t>
      </w:r>
    </w:p>
    <w:p w14:paraId="0308FCDF" w14:textId="77777777" w:rsidR="00AB693D" w:rsidRPr="00844B47" w:rsidRDefault="00AB693D" w:rsidP="00AB693D">
      <w:pPr>
        <w:spacing w:line="480" w:lineRule="auto"/>
        <w:jc w:val="both"/>
        <w:rPr>
          <w:rStyle w:val="element-citation"/>
          <w:rFonts w:asciiTheme="minorHAnsi" w:hAnsiTheme="minorHAnsi" w:cstheme="minorHAnsi"/>
          <w:highlight w:val="cyan"/>
        </w:rPr>
      </w:pPr>
      <w:r w:rsidRPr="00AB693D">
        <w:rPr>
          <w:rFonts w:asciiTheme="minorHAnsi" w:hAnsiTheme="minorHAnsi" w:cstheme="minorHAnsi"/>
          <w:highlight w:val="cyan"/>
          <w:lang w:val="en-US"/>
        </w:rPr>
        <w:t xml:space="preserve">18. Cheng, M. H., Krieger, J. M., </w:t>
      </w:r>
      <w:proofErr w:type="spellStart"/>
      <w:r w:rsidRPr="00AB693D">
        <w:rPr>
          <w:rFonts w:asciiTheme="minorHAnsi" w:hAnsiTheme="minorHAnsi" w:cstheme="minorHAnsi"/>
          <w:highlight w:val="cyan"/>
          <w:lang w:val="en-US"/>
        </w:rPr>
        <w:t>Kaynak</w:t>
      </w:r>
      <w:proofErr w:type="spellEnd"/>
      <w:r w:rsidRPr="00AB693D">
        <w:rPr>
          <w:rFonts w:asciiTheme="minorHAnsi" w:hAnsiTheme="minorHAnsi" w:cstheme="minorHAnsi"/>
          <w:highlight w:val="cyan"/>
          <w:lang w:val="en-US"/>
        </w:rPr>
        <w:t xml:space="preserve">, B., </w:t>
      </w:r>
      <w:proofErr w:type="spellStart"/>
      <w:r w:rsidRPr="00AB693D">
        <w:rPr>
          <w:rFonts w:asciiTheme="minorHAnsi" w:hAnsiTheme="minorHAnsi" w:cstheme="minorHAnsi"/>
          <w:highlight w:val="cyan"/>
          <w:lang w:val="en-US"/>
        </w:rPr>
        <w:t>Arditi</w:t>
      </w:r>
      <w:proofErr w:type="spellEnd"/>
      <w:r w:rsidRPr="00AB693D">
        <w:rPr>
          <w:rFonts w:asciiTheme="minorHAnsi" w:hAnsiTheme="minorHAnsi" w:cstheme="minorHAnsi"/>
          <w:highlight w:val="cyan"/>
          <w:lang w:val="en-US"/>
        </w:rPr>
        <w:t xml:space="preserve">, M., &amp; </w:t>
      </w:r>
      <w:proofErr w:type="spellStart"/>
      <w:r w:rsidRPr="00AB693D">
        <w:rPr>
          <w:rFonts w:asciiTheme="minorHAnsi" w:hAnsiTheme="minorHAnsi" w:cstheme="minorHAnsi"/>
          <w:highlight w:val="cyan"/>
          <w:lang w:val="en-US"/>
        </w:rPr>
        <w:t>Bahar</w:t>
      </w:r>
      <w:proofErr w:type="spellEnd"/>
      <w:r w:rsidRPr="00AB693D">
        <w:rPr>
          <w:rFonts w:asciiTheme="minorHAnsi" w:hAnsiTheme="minorHAnsi" w:cstheme="minorHAnsi"/>
          <w:highlight w:val="cyan"/>
          <w:lang w:val="en-US"/>
        </w:rPr>
        <w:t xml:space="preserve">, I. (2021). Impact of south </w:t>
      </w:r>
      <w:proofErr w:type="spellStart"/>
      <w:r w:rsidRPr="00AB693D">
        <w:rPr>
          <w:rFonts w:asciiTheme="minorHAnsi" w:hAnsiTheme="minorHAnsi" w:cstheme="minorHAnsi"/>
          <w:highlight w:val="cyan"/>
          <w:lang w:val="en-US"/>
        </w:rPr>
        <w:t>african</w:t>
      </w:r>
      <w:proofErr w:type="spellEnd"/>
      <w:r w:rsidRPr="00AB693D">
        <w:rPr>
          <w:rFonts w:asciiTheme="minorHAnsi" w:hAnsiTheme="minorHAnsi" w:cstheme="minorHAnsi"/>
          <w:highlight w:val="cyan"/>
          <w:lang w:val="en-US"/>
        </w:rPr>
        <w:t xml:space="preserve"> 501. V2 variant on SARS-CoV-2 spike infectivity and neutralization: A structure-based computational assessment [Preprint]. </w:t>
      </w:r>
      <w:r w:rsidRPr="00844B47">
        <w:rPr>
          <w:rFonts w:asciiTheme="minorHAnsi" w:hAnsiTheme="minorHAnsi" w:cstheme="minorHAnsi"/>
          <w:highlight w:val="cyan"/>
        </w:rPr>
        <w:t xml:space="preserve">Molecular </w:t>
      </w:r>
      <w:proofErr w:type="spellStart"/>
      <w:r w:rsidRPr="00844B47">
        <w:rPr>
          <w:rFonts w:asciiTheme="minorHAnsi" w:hAnsiTheme="minorHAnsi" w:cstheme="minorHAnsi"/>
          <w:highlight w:val="cyan"/>
        </w:rPr>
        <w:t>Biology</w:t>
      </w:r>
      <w:proofErr w:type="spellEnd"/>
      <w:r w:rsidRPr="00844B47">
        <w:rPr>
          <w:rFonts w:asciiTheme="minorHAnsi" w:hAnsiTheme="minorHAnsi" w:cstheme="minorHAnsi"/>
          <w:highlight w:val="cyan"/>
        </w:rPr>
        <w:t>. https://doi.org/10.1101/2021.01.10.426143</w:t>
      </w:r>
    </w:p>
    <w:p w14:paraId="0AD9A698" w14:textId="77777777" w:rsidR="00AB693D" w:rsidRPr="00AB693D" w:rsidRDefault="00AB693D" w:rsidP="00AB693D">
      <w:pPr>
        <w:spacing w:line="480" w:lineRule="auto"/>
        <w:jc w:val="both"/>
        <w:rPr>
          <w:rFonts w:asciiTheme="minorHAnsi" w:hAnsiTheme="minorHAnsi" w:cstheme="minorHAnsi"/>
          <w:highlight w:val="cyan"/>
          <w:lang w:val="en-US"/>
        </w:rPr>
      </w:pPr>
      <w:r w:rsidRPr="00AB693D">
        <w:rPr>
          <w:rFonts w:asciiTheme="minorHAnsi" w:hAnsiTheme="minorHAnsi" w:cstheme="minorHAnsi"/>
          <w:highlight w:val="cyan"/>
          <w:lang w:val="en-US"/>
        </w:rPr>
        <w:t xml:space="preserve">19. Wang, W. B., Liang, Y., </w:t>
      </w:r>
      <w:proofErr w:type="spellStart"/>
      <w:r w:rsidRPr="00AB693D">
        <w:rPr>
          <w:rFonts w:asciiTheme="minorHAnsi" w:hAnsiTheme="minorHAnsi" w:cstheme="minorHAnsi"/>
          <w:highlight w:val="cyan"/>
          <w:lang w:val="en-US"/>
        </w:rPr>
        <w:t>Jin</w:t>
      </w:r>
      <w:proofErr w:type="spellEnd"/>
      <w:r w:rsidRPr="00AB693D">
        <w:rPr>
          <w:rFonts w:asciiTheme="minorHAnsi" w:hAnsiTheme="minorHAnsi" w:cstheme="minorHAnsi"/>
          <w:highlight w:val="cyan"/>
          <w:lang w:val="en-US"/>
        </w:rPr>
        <w:t xml:space="preserve">, Y. Q., Zhang, J., </w:t>
      </w:r>
      <w:proofErr w:type="spellStart"/>
      <w:r w:rsidRPr="00AB693D">
        <w:rPr>
          <w:rFonts w:asciiTheme="minorHAnsi" w:hAnsiTheme="minorHAnsi" w:cstheme="minorHAnsi"/>
          <w:highlight w:val="cyan"/>
          <w:lang w:val="en-US"/>
        </w:rPr>
        <w:t>Su</w:t>
      </w:r>
      <w:proofErr w:type="spellEnd"/>
      <w:r w:rsidRPr="00AB693D">
        <w:rPr>
          <w:rFonts w:asciiTheme="minorHAnsi" w:hAnsiTheme="minorHAnsi" w:cstheme="minorHAnsi"/>
          <w:highlight w:val="cyan"/>
          <w:lang w:val="en-US"/>
        </w:rPr>
        <w:t xml:space="preserve">, J. G., &amp; Li, Q. M. (2021). E484K mutation in SARS-CoV-2 RBD enhances binding affinity with hACE2 but reduces interactions with neutralizing antibodies and nanobodies: Binding free energy calculation studies. Journal of Molecular Graphics and Modelling, 109, 108035. </w:t>
      </w:r>
    </w:p>
    <w:p w14:paraId="5AD8D5CF" w14:textId="77777777" w:rsidR="00AB693D" w:rsidRPr="00AB693D" w:rsidRDefault="00AB693D" w:rsidP="00AB693D">
      <w:pPr>
        <w:spacing w:line="480" w:lineRule="auto"/>
        <w:jc w:val="both"/>
        <w:rPr>
          <w:rFonts w:asciiTheme="minorHAnsi" w:hAnsiTheme="minorHAnsi" w:cstheme="minorHAnsi"/>
          <w:lang w:val="en-US"/>
        </w:rPr>
      </w:pPr>
      <w:r w:rsidRPr="00AB693D">
        <w:rPr>
          <w:rFonts w:asciiTheme="minorHAnsi" w:hAnsiTheme="minorHAnsi" w:cstheme="minorHAnsi"/>
          <w:highlight w:val="cyan"/>
          <w:lang w:val="en-US"/>
        </w:rPr>
        <w:t>https://doi.org/10.1016/j.jmgm.2021.108035.</w:t>
      </w:r>
    </w:p>
    <w:p w14:paraId="4B8F46B2" w14:textId="77777777" w:rsidR="00AB693D" w:rsidRPr="00844B47" w:rsidRDefault="00AB693D" w:rsidP="00AB693D">
      <w:pPr>
        <w:spacing w:line="480" w:lineRule="auto"/>
        <w:ind w:right="-1000"/>
        <w:jc w:val="both"/>
        <w:rPr>
          <w:rFonts w:asciiTheme="minorHAnsi" w:hAnsiTheme="minorHAnsi" w:cstheme="minorHAnsi"/>
          <w:lang w:val="en-US"/>
        </w:rPr>
      </w:pPr>
      <w:r w:rsidRPr="00844B47">
        <w:rPr>
          <w:rFonts w:asciiTheme="minorHAnsi" w:hAnsiTheme="minorHAnsi" w:cstheme="minorHAnsi"/>
        </w:rPr>
        <w:lastRenderedPageBreak/>
        <w:t xml:space="preserve">20. </w:t>
      </w:r>
      <w:proofErr w:type="spellStart"/>
      <w:r w:rsidRPr="00844B47">
        <w:rPr>
          <w:rFonts w:asciiTheme="minorHAnsi" w:hAnsiTheme="minorHAnsi" w:cstheme="minorHAnsi"/>
        </w:rPr>
        <w:t>Xie</w:t>
      </w:r>
      <w:proofErr w:type="spellEnd"/>
      <w:r w:rsidRPr="00844B47">
        <w:rPr>
          <w:rFonts w:asciiTheme="minorHAnsi" w:hAnsiTheme="minorHAnsi" w:cstheme="minorHAnsi"/>
        </w:rPr>
        <w:t xml:space="preserve">, X., </w:t>
      </w:r>
      <w:proofErr w:type="spellStart"/>
      <w:r w:rsidRPr="00844B47">
        <w:rPr>
          <w:rFonts w:asciiTheme="minorHAnsi" w:hAnsiTheme="minorHAnsi" w:cstheme="minorHAnsi"/>
        </w:rPr>
        <w:t>Liu</w:t>
      </w:r>
      <w:proofErr w:type="spellEnd"/>
      <w:r w:rsidRPr="00844B47">
        <w:rPr>
          <w:rFonts w:asciiTheme="minorHAnsi" w:hAnsiTheme="minorHAnsi" w:cstheme="minorHAnsi"/>
        </w:rPr>
        <w:t xml:space="preserve">, Y., </w:t>
      </w:r>
      <w:proofErr w:type="spellStart"/>
      <w:r w:rsidRPr="00844B47">
        <w:rPr>
          <w:rFonts w:asciiTheme="minorHAnsi" w:hAnsiTheme="minorHAnsi" w:cstheme="minorHAnsi"/>
        </w:rPr>
        <w:t>Liu</w:t>
      </w:r>
      <w:proofErr w:type="spellEnd"/>
      <w:r w:rsidRPr="00844B47">
        <w:rPr>
          <w:rFonts w:asciiTheme="minorHAnsi" w:hAnsiTheme="minorHAnsi" w:cstheme="minorHAnsi"/>
        </w:rPr>
        <w:t xml:space="preserve">, J., Zhang, X., </w:t>
      </w:r>
      <w:proofErr w:type="spellStart"/>
      <w:r w:rsidRPr="00844B47">
        <w:rPr>
          <w:rFonts w:asciiTheme="minorHAnsi" w:hAnsiTheme="minorHAnsi" w:cstheme="minorHAnsi"/>
        </w:rPr>
        <w:t>Zou</w:t>
      </w:r>
      <w:proofErr w:type="spellEnd"/>
      <w:r w:rsidRPr="00844B47">
        <w:rPr>
          <w:rFonts w:asciiTheme="minorHAnsi" w:hAnsiTheme="minorHAnsi" w:cstheme="minorHAnsi"/>
        </w:rPr>
        <w:t xml:space="preserve">, J., </w:t>
      </w:r>
      <w:proofErr w:type="spellStart"/>
      <w:r w:rsidRPr="00844B47">
        <w:rPr>
          <w:rFonts w:asciiTheme="minorHAnsi" w:hAnsiTheme="minorHAnsi" w:cstheme="minorHAnsi"/>
        </w:rPr>
        <w:t>Fontes</w:t>
      </w:r>
      <w:proofErr w:type="spellEnd"/>
      <w:r w:rsidRPr="00844B47">
        <w:rPr>
          <w:rFonts w:asciiTheme="minorHAnsi" w:hAnsiTheme="minorHAnsi" w:cstheme="minorHAnsi"/>
        </w:rPr>
        <w:t xml:space="preserve">-Garfias, C. R., … </w:t>
      </w:r>
      <w:r w:rsidRPr="00AB693D">
        <w:rPr>
          <w:rFonts w:asciiTheme="minorHAnsi" w:hAnsiTheme="minorHAnsi" w:cstheme="minorHAnsi"/>
          <w:lang w:val="en-US"/>
        </w:rPr>
        <w:t>Shi, P.-Y. (2021). Neutralization of SARS-CoV-2 spike 69/70 deletion, E484K and N501Y variants by BNT162b2 vaccine-elicited sera. Nature Medicine, 27(4), 620-621. https://doi.org/10.1038/s41591-021-01270-4.</w:t>
      </w:r>
    </w:p>
    <w:p w14:paraId="529809C8" w14:textId="77777777" w:rsidR="00AB693D" w:rsidRPr="00844B47" w:rsidRDefault="00AB693D" w:rsidP="00AB693D">
      <w:pPr>
        <w:spacing w:line="480" w:lineRule="auto"/>
        <w:ind w:right="-1000"/>
        <w:jc w:val="both"/>
        <w:rPr>
          <w:rFonts w:asciiTheme="minorHAnsi" w:hAnsiTheme="minorHAnsi" w:cstheme="minorHAnsi"/>
          <w:lang w:val="en-US"/>
        </w:rPr>
      </w:pPr>
      <w:r w:rsidRPr="00844B47">
        <w:rPr>
          <w:rFonts w:asciiTheme="minorHAnsi" w:hAnsiTheme="minorHAnsi" w:cstheme="minorHAnsi"/>
          <w:lang w:val="en-US"/>
        </w:rPr>
        <w:t xml:space="preserve">21. </w:t>
      </w:r>
      <w:r w:rsidRPr="00AB693D">
        <w:rPr>
          <w:rFonts w:asciiTheme="minorHAnsi" w:hAnsiTheme="minorHAnsi" w:cstheme="minorHAnsi"/>
          <w:lang w:val="en-US"/>
        </w:rPr>
        <w:t xml:space="preserve">Wang, Z., Schmidt, F., </w:t>
      </w:r>
      <w:proofErr w:type="spellStart"/>
      <w:r w:rsidRPr="00AB693D">
        <w:rPr>
          <w:rFonts w:asciiTheme="minorHAnsi" w:hAnsiTheme="minorHAnsi" w:cstheme="minorHAnsi"/>
          <w:lang w:val="en-US"/>
        </w:rPr>
        <w:t>Weisblum</w:t>
      </w:r>
      <w:proofErr w:type="spellEnd"/>
      <w:r w:rsidRPr="00AB693D">
        <w:rPr>
          <w:rFonts w:asciiTheme="minorHAnsi" w:hAnsiTheme="minorHAnsi" w:cstheme="minorHAnsi"/>
          <w:lang w:val="en-US"/>
        </w:rPr>
        <w:t xml:space="preserve">, Y., </w:t>
      </w:r>
      <w:proofErr w:type="spellStart"/>
      <w:r w:rsidRPr="00AB693D">
        <w:rPr>
          <w:rFonts w:asciiTheme="minorHAnsi" w:hAnsiTheme="minorHAnsi" w:cstheme="minorHAnsi"/>
          <w:lang w:val="en-US"/>
        </w:rPr>
        <w:t>Muecksch</w:t>
      </w:r>
      <w:proofErr w:type="spellEnd"/>
      <w:r w:rsidRPr="00AB693D">
        <w:rPr>
          <w:rFonts w:asciiTheme="minorHAnsi" w:hAnsiTheme="minorHAnsi" w:cstheme="minorHAnsi"/>
          <w:lang w:val="en-US"/>
        </w:rPr>
        <w:t xml:space="preserve">, F., Barnes, C. O., </w:t>
      </w:r>
      <w:proofErr w:type="spellStart"/>
      <w:r w:rsidRPr="00AB693D">
        <w:rPr>
          <w:rFonts w:asciiTheme="minorHAnsi" w:hAnsiTheme="minorHAnsi" w:cstheme="minorHAnsi"/>
          <w:lang w:val="en-US"/>
        </w:rPr>
        <w:t>Finkin</w:t>
      </w:r>
      <w:proofErr w:type="spellEnd"/>
      <w:r w:rsidRPr="00AB693D">
        <w:rPr>
          <w:rFonts w:asciiTheme="minorHAnsi" w:hAnsiTheme="minorHAnsi" w:cstheme="minorHAnsi"/>
          <w:lang w:val="en-US"/>
        </w:rPr>
        <w:t xml:space="preserve">, S., … </w:t>
      </w:r>
      <w:proofErr w:type="spellStart"/>
      <w:r w:rsidRPr="00AB693D">
        <w:rPr>
          <w:rFonts w:asciiTheme="minorHAnsi" w:hAnsiTheme="minorHAnsi" w:cstheme="minorHAnsi"/>
          <w:lang w:val="en-US"/>
        </w:rPr>
        <w:t>Nussenzweig</w:t>
      </w:r>
      <w:proofErr w:type="spellEnd"/>
      <w:r w:rsidRPr="00AB693D">
        <w:rPr>
          <w:rFonts w:asciiTheme="minorHAnsi" w:hAnsiTheme="minorHAnsi" w:cstheme="minorHAnsi"/>
          <w:lang w:val="en-US"/>
        </w:rPr>
        <w:t>, M. C. (2021). mRNA vaccine-elicited antibodies to SARS-CoV-2 and circulating variants. Nature, 592(7855), 616-622. https://doi.org/10.1038/s41586-021-03324-6.</w:t>
      </w:r>
    </w:p>
    <w:p w14:paraId="2DBC25CF" w14:textId="77777777" w:rsidR="00AB693D" w:rsidRPr="00844B47" w:rsidRDefault="00AB693D" w:rsidP="00AB693D">
      <w:pPr>
        <w:spacing w:line="480" w:lineRule="auto"/>
        <w:ind w:right="-1000"/>
        <w:jc w:val="both"/>
        <w:rPr>
          <w:rFonts w:asciiTheme="minorHAnsi" w:hAnsiTheme="minorHAnsi" w:cstheme="minorHAnsi"/>
          <w:lang w:val="en-US"/>
        </w:rPr>
      </w:pPr>
      <w:r w:rsidRPr="00844B47">
        <w:rPr>
          <w:rFonts w:asciiTheme="minorHAnsi" w:hAnsiTheme="minorHAnsi" w:cstheme="minorHAnsi"/>
          <w:lang w:val="en-US"/>
        </w:rPr>
        <w:t xml:space="preserve">22. </w:t>
      </w:r>
      <w:r w:rsidRPr="00AB693D">
        <w:rPr>
          <w:rFonts w:asciiTheme="minorHAnsi" w:hAnsiTheme="minorHAnsi" w:cstheme="minorHAnsi"/>
          <w:lang w:val="en-US"/>
        </w:rPr>
        <w:t>Wu, K., Werner, A. P., Koch, M., Choi, A., Narayanan, E., Stewart-Jones, G. B. E., … Edwards, D. K. (2021). Serum neutralizing activity elicited by mRNA-1273 vaccine. New England Journal of Medicine, 384(15), 1468-1470. https://doi.org/10.1056/NEJMc2102179.</w:t>
      </w:r>
    </w:p>
    <w:p w14:paraId="26033C1C" w14:textId="77777777" w:rsidR="00AB693D" w:rsidRPr="00844B47" w:rsidRDefault="00AB693D" w:rsidP="00AB693D">
      <w:pPr>
        <w:spacing w:line="480" w:lineRule="auto"/>
        <w:ind w:right="-1000"/>
        <w:jc w:val="both"/>
        <w:rPr>
          <w:rStyle w:val="highwire-cite-metadata-doi"/>
          <w:rFonts w:asciiTheme="minorHAnsi" w:hAnsiTheme="minorHAnsi" w:cstheme="minorHAnsi"/>
          <w:lang w:val="en-US"/>
        </w:rPr>
      </w:pPr>
      <w:r w:rsidRPr="00AB693D">
        <w:rPr>
          <w:rFonts w:asciiTheme="minorHAnsi" w:hAnsiTheme="minorHAnsi" w:cstheme="minorHAnsi"/>
          <w:lang w:val="en-US"/>
        </w:rPr>
        <w:t xml:space="preserve">23. Tada, T., </w:t>
      </w:r>
      <w:proofErr w:type="spellStart"/>
      <w:r w:rsidRPr="00AB693D">
        <w:rPr>
          <w:rFonts w:asciiTheme="minorHAnsi" w:hAnsiTheme="minorHAnsi" w:cstheme="minorHAnsi"/>
          <w:lang w:val="en-US"/>
        </w:rPr>
        <w:t>Dcosta</w:t>
      </w:r>
      <w:proofErr w:type="spellEnd"/>
      <w:r w:rsidRPr="00AB693D">
        <w:rPr>
          <w:rFonts w:asciiTheme="minorHAnsi" w:hAnsiTheme="minorHAnsi" w:cstheme="minorHAnsi"/>
          <w:lang w:val="en-US"/>
        </w:rPr>
        <w:t xml:space="preserve">, B. M., </w:t>
      </w:r>
      <w:proofErr w:type="spellStart"/>
      <w:r w:rsidRPr="00AB693D">
        <w:rPr>
          <w:rFonts w:asciiTheme="minorHAnsi" w:hAnsiTheme="minorHAnsi" w:cstheme="minorHAnsi"/>
          <w:lang w:val="en-US"/>
        </w:rPr>
        <w:t>Samanovic</w:t>
      </w:r>
      <w:proofErr w:type="spellEnd"/>
      <w:r w:rsidRPr="00AB693D">
        <w:rPr>
          <w:rFonts w:asciiTheme="minorHAnsi" w:hAnsiTheme="minorHAnsi" w:cstheme="minorHAnsi"/>
          <w:lang w:val="en-US"/>
        </w:rPr>
        <w:t xml:space="preserve">-Golden, M., </w:t>
      </w:r>
      <w:proofErr w:type="spellStart"/>
      <w:r w:rsidRPr="00AB693D">
        <w:rPr>
          <w:rFonts w:asciiTheme="minorHAnsi" w:hAnsiTheme="minorHAnsi" w:cstheme="minorHAnsi"/>
          <w:lang w:val="en-US"/>
        </w:rPr>
        <w:t>Herati</w:t>
      </w:r>
      <w:proofErr w:type="spellEnd"/>
      <w:r w:rsidRPr="00AB693D">
        <w:rPr>
          <w:rFonts w:asciiTheme="minorHAnsi" w:hAnsiTheme="minorHAnsi" w:cstheme="minorHAnsi"/>
          <w:lang w:val="en-US"/>
        </w:rPr>
        <w:t>, R. S., Cornelius, A., Mulligan, M. J., &amp; Landau, N. R. (2021). Neutralization of viruses with European, South African, and United States SARS-CoV-2 variant spike proteins by convalescent sera and BNT162b2 mRNA vaccine-elicited antibodies [Preprint]. Microbiology. https://doi.org/10.1101/2021.02.05.430003.</w:t>
      </w:r>
    </w:p>
    <w:p w14:paraId="6525C3B4" w14:textId="77777777" w:rsidR="00AB693D" w:rsidRPr="00844B47" w:rsidRDefault="00AB693D" w:rsidP="00AB693D">
      <w:pPr>
        <w:spacing w:line="480" w:lineRule="auto"/>
        <w:ind w:right="-1000"/>
        <w:jc w:val="both"/>
        <w:rPr>
          <w:rFonts w:asciiTheme="minorHAnsi" w:hAnsiTheme="minorHAnsi" w:cstheme="minorHAnsi"/>
          <w:lang w:val="en-US"/>
        </w:rPr>
      </w:pPr>
      <w:r w:rsidRPr="00844B47">
        <w:rPr>
          <w:rStyle w:val="highwire-cite-metadata-doi"/>
          <w:rFonts w:asciiTheme="minorHAnsi" w:hAnsiTheme="minorHAnsi" w:cstheme="minorHAnsi"/>
          <w:lang w:val="en-US"/>
        </w:rPr>
        <w:t xml:space="preserve">24. </w:t>
      </w:r>
      <w:r w:rsidRPr="00AB693D">
        <w:rPr>
          <w:rFonts w:asciiTheme="minorHAnsi" w:hAnsiTheme="minorHAnsi" w:cstheme="minorHAnsi"/>
          <w:lang w:val="en-US"/>
        </w:rPr>
        <w:t>Liu, Y., Liu, J., Xia, H., Zhang, X., Fontes-</w:t>
      </w:r>
      <w:proofErr w:type="spellStart"/>
      <w:r w:rsidRPr="00AB693D">
        <w:rPr>
          <w:rFonts w:asciiTheme="minorHAnsi" w:hAnsiTheme="minorHAnsi" w:cstheme="minorHAnsi"/>
          <w:lang w:val="en-US"/>
        </w:rPr>
        <w:t>Garfias</w:t>
      </w:r>
      <w:proofErr w:type="spellEnd"/>
      <w:r w:rsidRPr="00AB693D">
        <w:rPr>
          <w:rFonts w:asciiTheme="minorHAnsi" w:hAnsiTheme="minorHAnsi" w:cstheme="minorHAnsi"/>
          <w:lang w:val="en-US"/>
        </w:rPr>
        <w:t>, C. R., Swanson, K. A., … Shi, P.-Y. (2021). Neutralizing activity of BNT162b2-elicited serum. New England Journal of Medicine, 384(15), 1466-1468. https://doi.org/10.1056/NEJMc2102017.</w:t>
      </w:r>
      <w:r w:rsidRPr="00844B47">
        <w:rPr>
          <w:rFonts w:asciiTheme="minorHAnsi" w:hAnsiTheme="minorHAnsi" w:cstheme="minorHAnsi"/>
          <w:lang w:val="en-US"/>
        </w:rPr>
        <w:t xml:space="preserve"> </w:t>
      </w:r>
    </w:p>
    <w:p w14:paraId="74D1BFCE" w14:textId="77777777" w:rsidR="00AB693D" w:rsidRPr="00844B47" w:rsidRDefault="00AB693D" w:rsidP="00AB693D">
      <w:pPr>
        <w:spacing w:line="480" w:lineRule="auto"/>
        <w:ind w:right="-1000"/>
        <w:jc w:val="both"/>
        <w:rPr>
          <w:rFonts w:asciiTheme="minorHAnsi" w:hAnsiTheme="minorHAnsi" w:cstheme="minorHAnsi"/>
          <w:lang w:val="en-US"/>
        </w:rPr>
      </w:pPr>
      <w:r w:rsidRPr="00844B47">
        <w:rPr>
          <w:rFonts w:asciiTheme="minorHAnsi" w:hAnsiTheme="minorHAnsi" w:cstheme="minorHAnsi"/>
          <w:lang w:val="en-US"/>
        </w:rPr>
        <w:t xml:space="preserve">25. </w:t>
      </w:r>
      <w:proofErr w:type="spellStart"/>
      <w:r w:rsidRPr="00AB693D">
        <w:rPr>
          <w:rFonts w:asciiTheme="minorHAnsi" w:hAnsiTheme="minorHAnsi" w:cstheme="minorHAnsi"/>
          <w:lang w:val="en-US"/>
        </w:rPr>
        <w:t>Stamatatos</w:t>
      </w:r>
      <w:proofErr w:type="spellEnd"/>
      <w:r w:rsidRPr="00AB693D">
        <w:rPr>
          <w:rFonts w:asciiTheme="minorHAnsi" w:hAnsiTheme="minorHAnsi" w:cstheme="minorHAnsi"/>
          <w:lang w:val="en-US"/>
        </w:rPr>
        <w:t xml:space="preserve">, L., </w:t>
      </w:r>
      <w:proofErr w:type="spellStart"/>
      <w:r w:rsidRPr="00AB693D">
        <w:rPr>
          <w:rFonts w:asciiTheme="minorHAnsi" w:hAnsiTheme="minorHAnsi" w:cstheme="minorHAnsi"/>
          <w:lang w:val="en-US"/>
        </w:rPr>
        <w:t>Czartoski</w:t>
      </w:r>
      <w:proofErr w:type="spellEnd"/>
      <w:r w:rsidRPr="00AB693D">
        <w:rPr>
          <w:rFonts w:asciiTheme="minorHAnsi" w:hAnsiTheme="minorHAnsi" w:cstheme="minorHAnsi"/>
          <w:lang w:val="en-US"/>
        </w:rPr>
        <w:t xml:space="preserve">, J., Wan, Y.-H., </w:t>
      </w:r>
      <w:proofErr w:type="spellStart"/>
      <w:r w:rsidRPr="00AB693D">
        <w:rPr>
          <w:rFonts w:asciiTheme="minorHAnsi" w:hAnsiTheme="minorHAnsi" w:cstheme="minorHAnsi"/>
          <w:lang w:val="en-US"/>
        </w:rPr>
        <w:t>Homad</w:t>
      </w:r>
      <w:proofErr w:type="spellEnd"/>
      <w:r w:rsidRPr="00AB693D">
        <w:rPr>
          <w:rFonts w:asciiTheme="minorHAnsi" w:hAnsiTheme="minorHAnsi" w:cstheme="minorHAnsi"/>
          <w:lang w:val="en-US"/>
        </w:rPr>
        <w:t xml:space="preserve">, L. J., Rubin, V., Glantz, H., … McGuire, A. T. (2021). </w:t>
      </w:r>
      <w:r w:rsidRPr="00A43271">
        <w:rPr>
          <w:rFonts w:asciiTheme="minorHAnsi" w:hAnsiTheme="minorHAnsi" w:cstheme="minorHAnsi"/>
          <w:lang w:val="en-US"/>
        </w:rPr>
        <w:t xml:space="preserve">A single mRNA immunization boosts cross-variant neutralizing antibodies elicited by SARS-CoV-2 infection [Preprint]. </w:t>
      </w:r>
      <w:r w:rsidRPr="00AB693D">
        <w:rPr>
          <w:rFonts w:asciiTheme="minorHAnsi" w:hAnsiTheme="minorHAnsi" w:cstheme="minorHAnsi"/>
          <w:lang w:val="en-US"/>
        </w:rPr>
        <w:t>Infectious Diseases (except HIV/AIDS). https://doi.org/10.1101/2021.02.05.21251182.</w:t>
      </w:r>
    </w:p>
    <w:p w14:paraId="2DB845DC" w14:textId="77777777" w:rsidR="00AB693D" w:rsidRPr="00844B47" w:rsidRDefault="00AB693D" w:rsidP="00AB693D">
      <w:pPr>
        <w:spacing w:line="480" w:lineRule="auto"/>
        <w:ind w:right="-1000"/>
        <w:jc w:val="both"/>
        <w:rPr>
          <w:rFonts w:asciiTheme="minorHAnsi" w:hAnsiTheme="minorHAnsi" w:cstheme="minorHAnsi"/>
          <w:lang w:val="en-US"/>
        </w:rPr>
      </w:pPr>
      <w:r w:rsidRPr="00844B47">
        <w:rPr>
          <w:rFonts w:asciiTheme="minorHAnsi" w:hAnsiTheme="minorHAnsi" w:cstheme="minorHAnsi"/>
          <w:lang w:val="en-US"/>
        </w:rPr>
        <w:t xml:space="preserve">26. </w:t>
      </w:r>
      <w:proofErr w:type="spellStart"/>
      <w:r w:rsidRPr="00AB693D">
        <w:rPr>
          <w:rFonts w:asciiTheme="minorHAnsi" w:hAnsiTheme="minorHAnsi" w:cstheme="minorHAnsi"/>
          <w:lang w:val="en-US"/>
        </w:rPr>
        <w:t>Wibmer</w:t>
      </w:r>
      <w:proofErr w:type="spellEnd"/>
      <w:r w:rsidRPr="00AB693D">
        <w:rPr>
          <w:rFonts w:asciiTheme="minorHAnsi" w:hAnsiTheme="minorHAnsi" w:cstheme="minorHAnsi"/>
          <w:lang w:val="en-US"/>
        </w:rPr>
        <w:t xml:space="preserve">, C. K., Ayres, F., Hermanus, T., </w:t>
      </w:r>
      <w:proofErr w:type="spellStart"/>
      <w:r w:rsidRPr="00AB693D">
        <w:rPr>
          <w:rFonts w:asciiTheme="minorHAnsi" w:hAnsiTheme="minorHAnsi" w:cstheme="minorHAnsi"/>
          <w:lang w:val="en-US"/>
        </w:rPr>
        <w:t>Madzivhandila</w:t>
      </w:r>
      <w:proofErr w:type="spellEnd"/>
      <w:r w:rsidRPr="00AB693D">
        <w:rPr>
          <w:rFonts w:asciiTheme="minorHAnsi" w:hAnsiTheme="minorHAnsi" w:cstheme="minorHAnsi"/>
          <w:lang w:val="en-US"/>
        </w:rPr>
        <w:t xml:space="preserve">, M., </w:t>
      </w:r>
      <w:proofErr w:type="spellStart"/>
      <w:r w:rsidRPr="00AB693D">
        <w:rPr>
          <w:rFonts w:asciiTheme="minorHAnsi" w:hAnsiTheme="minorHAnsi" w:cstheme="minorHAnsi"/>
          <w:lang w:val="en-US"/>
        </w:rPr>
        <w:t>Kgagudi</w:t>
      </w:r>
      <w:proofErr w:type="spellEnd"/>
      <w:r w:rsidRPr="00AB693D">
        <w:rPr>
          <w:rFonts w:asciiTheme="minorHAnsi" w:hAnsiTheme="minorHAnsi" w:cstheme="minorHAnsi"/>
          <w:lang w:val="en-US"/>
        </w:rPr>
        <w:t xml:space="preserve">, P., </w:t>
      </w:r>
      <w:proofErr w:type="spellStart"/>
      <w:r w:rsidRPr="00AB693D">
        <w:rPr>
          <w:rFonts w:asciiTheme="minorHAnsi" w:hAnsiTheme="minorHAnsi" w:cstheme="minorHAnsi"/>
          <w:lang w:val="en-US"/>
        </w:rPr>
        <w:t>Oosthuysen</w:t>
      </w:r>
      <w:proofErr w:type="spellEnd"/>
      <w:r w:rsidRPr="00AB693D">
        <w:rPr>
          <w:rFonts w:asciiTheme="minorHAnsi" w:hAnsiTheme="minorHAnsi" w:cstheme="minorHAnsi"/>
          <w:lang w:val="en-US"/>
        </w:rPr>
        <w:t>, B., … Moore, P. L. (2021). SARS-CoV-2 501Y.V2 escapes neutralization by South African COVID-19 donor plasma. Nature Medicine, 27(4), 622-625. https://doi.org/10.1038/s41591-021-01285-x.</w:t>
      </w:r>
    </w:p>
    <w:p w14:paraId="115CE4DD" w14:textId="77777777" w:rsidR="00AB693D" w:rsidRPr="00844B47" w:rsidRDefault="00AB693D" w:rsidP="00AB693D">
      <w:pPr>
        <w:spacing w:line="480" w:lineRule="auto"/>
        <w:ind w:right="-1000"/>
        <w:jc w:val="both"/>
        <w:rPr>
          <w:rStyle w:val="highwire-cite-metadata-doi"/>
          <w:rFonts w:asciiTheme="minorHAnsi" w:hAnsiTheme="minorHAnsi" w:cstheme="minorHAnsi"/>
          <w:lang w:val="en-US"/>
        </w:rPr>
      </w:pPr>
      <w:r w:rsidRPr="00844B47">
        <w:rPr>
          <w:rFonts w:asciiTheme="minorHAnsi" w:hAnsiTheme="minorHAnsi" w:cstheme="minorHAnsi"/>
          <w:lang w:val="en-US"/>
        </w:rPr>
        <w:lastRenderedPageBreak/>
        <w:t xml:space="preserve">27. </w:t>
      </w:r>
      <w:r w:rsidRPr="00AB693D">
        <w:rPr>
          <w:rFonts w:asciiTheme="minorHAnsi" w:hAnsiTheme="minorHAnsi" w:cstheme="minorHAnsi"/>
          <w:lang w:val="en-US"/>
        </w:rPr>
        <w:t>Earle, K. A., Ambrosino, D. M., Fiore-</w:t>
      </w:r>
      <w:proofErr w:type="spellStart"/>
      <w:r w:rsidRPr="00AB693D">
        <w:rPr>
          <w:rFonts w:asciiTheme="minorHAnsi" w:hAnsiTheme="minorHAnsi" w:cstheme="minorHAnsi"/>
          <w:lang w:val="en-US"/>
        </w:rPr>
        <w:t>Gartland</w:t>
      </w:r>
      <w:proofErr w:type="spellEnd"/>
      <w:r w:rsidRPr="00AB693D">
        <w:rPr>
          <w:rFonts w:asciiTheme="minorHAnsi" w:hAnsiTheme="minorHAnsi" w:cstheme="minorHAnsi"/>
          <w:lang w:val="en-US"/>
        </w:rPr>
        <w:t xml:space="preserve">, A., Goldblatt, D., Gilbert, P. B., </w:t>
      </w:r>
      <w:proofErr w:type="spellStart"/>
      <w:r w:rsidRPr="00AB693D">
        <w:rPr>
          <w:rFonts w:asciiTheme="minorHAnsi" w:hAnsiTheme="minorHAnsi" w:cstheme="minorHAnsi"/>
          <w:lang w:val="en-US"/>
        </w:rPr>
        <w:t>Siber</w:t>
      </w:r>
      <w:proofErr w:type="spellEnd"/>
      <w:r w:rsidRPr="00AB693D">
        <w:rPr>
          <w:rFonts w:asciiTheme="minorHAnsi" w:hAnsiTheme="minorHAnsi" w:cstheme="minorHAnsi"/>
          <w:lang w:val="en-US"/>
        </w:rPr>
        <w:t xml:space="preserve">, G. R., … Plotkin, S. A. (2021). Evidence for antibody as a protective correlate for COVID-19 vaccines. </w:t>
      </w:r>
      <w:proofErr w:type="spellStart"/>
      <w:r w:rsidRPr="00844B47">
        <w:rPr>
          <w:rFonts w:asciiTheme="minorHAnsi" w:hAnsiTheme="minorHAnsi" w:cstheme="minorHAnsi"/>
        </w:rPr>
        <w:t>Vaccine</w:t>
      </w:r>
      <w:proofErr w:type="spellEnd"/>
      <w:r w:rsidRPr="00844B47">
        <w:rPr>
          <w:rFonts w:asciiTheme="minorHAnsi" w:hAnsiTheme="minorHAnsi" w:cstheme="minorHAnsi"/>
        </w:rPr>
        <w:t>, 39(32), 4423-4428. https://doi.org/10.1016/j.vaccine.2021.05.063.</w:t>
      </w:r>
    </w:p>
    <w:p w14:paraId="33C4A0E4" w14:textId="77777777" w:rsidR="00AB693D" w:rsidRPr="00AB693D" w:rsidRDefault="00AB693D" w:rsidP="00AB693D">
      <w:pPr>
        <w:spacing w:line="480" w:lineRule="auto"/>
        <w:ind w:right="-1000"/>
        <w:jc w:val="both"/>
        <w:rPr>
          <w:rFonts w:asciiTheme="minorHAnsi" w:hAnsiTheme="minorHAnsi" w:cstheme="minorHAnsi"/>
          <w:lang w:val="en-US"/>
        </w:rPr>
      </w:pPr>
      <w:r w:rsidRPr="00844B47">
        <w:rPr>
          <w:rStyle w:val="highwire-cite-metadata-doi"/>
          <w:rFonts w:asciiTheme="minorHAnsi" w:hAnsiTheme="minorHAnsi" w:cstheme="minorHAnsi"/>
          <w:lang w:val="en-US"/>
        </w:rPr>
        <w:t xml:space="preserve">28. </w:t>
      </w:r>
      <w:r w:rsidRPr="00AB693D">
        <w:rPr>
          <w:rFonts w:asciiTheme="minorHAnsi" w:hAnsiTheme="minorHAnsi" w:cstheme="minorHAnsi"/>
          <w:lang w:val="en-US"/>
        </w:rPr>
        <w:t>Huang, K.-Y. A., Tan, T. K., Chen, T.-H., Huang, C.-G., Harvey, R., Hussain, S., … Townsend, A. R. (2021). Breadth and function of antibody response to acute SARS-CoV-2 infection in humans. PLOS Pathogens, 17(2), e1009352. https://doi.org/10.1371/journal.ppat.1009352.</w:t>
      </w:r>
    </w:p>
    <w:p w14:paraId="195D23EC" w14:textId="77777777" w:rsidR="00AB693D" w:rsidRPr="00AB693D" w:rsidRDefault="00AB693D" w:rsidP="00AB693D">
      <w:pPr>
        <w:spacing w:line="480" w:lineRule="auto"/>
        <w:ind w:right="-1000"/>
        <w:jc w:val="both"/>
        <w:rPr>
          <w:rFonts w:asciiTheme="minorHAnsi" w:hAnsiTheme="minorHAnsi" w:cstheme="minorHAnsi"/>
          <w:lang w:val="en-US"/>
        </w:rPr>
      </w:pPr>
      <w:r w:rsidRPr="00844B47">
        <w:rPr>
          <w:rFonts w:asciiTheme="minorHAnsi" w:hAnsiTheme="minorHAnsi" w:cstheme="minorHAnsi"/>
          <w:lang w:val="en-US"/>
        </w:rPr>
        <w:t xml:space="preserve">29. </w:t>
      </w:r>
      <w:proofErr w:type="spellStart"/>
      <w:r w:rsidRPr="00AB693D">
        <w:rPr>
          <w:rFonts w:asciiTheme="minorHAnsi" w:hAnsiTheme="minorHAnsi" w:cstheme="minorHAnsi"/>
          <w:lang w:val="en-US"/>
        </w:rPr>
        <w:t>Gaebler</w:t>
      </w:r>
      <w:proofErr w:type="spellEnd"/>
      <w:r w:rsidRPr="00AB693D">
        <w:rPr>
          <w:rFonts w:asciiTheme="minorHAnsi" w:hAnsiTheme="minorHAnsi" w:cstheme="minorHAnsi"/>
          <w:lang w:val="en-US"/>
        </w:rPr>
        <w:t xml:space="preserve">, C., Wang, Z., </w:t>
      </w:r>
      <w:proofErr w:type="spellStart"/>
      <w:r w:rsidRPr="00AB693D">
        <w:rPr>
          <w:rFonts w:asciiTheme="minorHAnsi" w:hAnsiTheme="minorHAnsi" w:cstheme="minorHAnsi"/>
          <w:lang w:val="en-US"/>
        </w:rPr>
        <w:t>Lorenzi</w:t>
      </w:r>
      <w:proofErr w:type="spellEnd"/>
      <w:r w:rsidRPr="00AB693D">
        <w:rPr>
          <w:rFonts w:asciiTheme="minorHAnsi" w:hAnsiTheme="minorHAnsi" w:cstheme="minorHAnsi"/>
          <w:lang w:val="en-US"/>
        </w:rPr>
        <w:t xml:space="preserve">, J. C. C., </w:t>
      </w:r>
      <w:proofErr w:type="spellStart"/>
      <w:r w:rsidRPr="00AB693D">
        <w:rPr>
          <w:rFonts w:asciiTheme="minorHAnsi" w:hAnsiTheme="minorHAnsi" w:cstheme="minorHAnsi"/>
          <w:lang w:val="en-US"/>
        </w:rPr>
        <w:t>Muecksch</w:t>
      </w:r>
      <w:proofErr w:type="spellEnd"/>
      <w:r w:rsidRPr="00AB693D">
        <w:rPr>
          <w:rFonts w:asciiTheme="minorHAnsi" w:hAnsiTheme="minorHAnsi" w:cstheme="minorHAnsi"/>
          <w:lang w:val="en-US"/>
        </w:rPr>
        <w:t xml:space="preserve">, F., </w:t>
      </w:r>
      <w:proofErr w:type="spellStart"/>
      <w:r w:rsidRPr="00AB693D">
        <w:rPr>
          <w:rFonts w:asciiTheme="minorHAnsi" w:hAnsiTheme="minorHAnsi" w:cstheme="minorHAnsi"/>
          <w:lang w:val="en-US"/>
        </w:rPr>
        <w:t>Finkin</w:t>
      </w:r>
      <w:proofErr w:type="spellEnd"/>
      <w:r w:rsidRPr="00AB693D">
        <w:rPr>
          <w:rFonts w:asciiTheme="minorHAnsi" w:hAnsiTheme="minorHAnsi" w:cstheme="minorHAnsi"/>
          <w:lang w:val="en-US"/>
        </w:rPr>
        <w:t xml:space="preserve">, S., Tokuyama, M., … </w:t>
      </w:r>
      <w:proofErr w:type="spellStart"/>
      <w:r w:rsidRPr="00AB693D">
        <w:rPr>
          <w:rFonts w:asciiTheme="minorHAnsi" w:hAnsiTheme="minorHAnsi" w:cstheme="minorHAnsi"/>
          <w:lang w:val="en-US"/>
        </w:rPr>
        <w:t>Nussenzweig</w:t>
      </w:r>
      <w:proofErr w:type="spellEnd"/>
      <w:r w:rsidRPr="00AB693D">
        <w:rPr>
          <w:rFonts w:asciiTheme="minorHAnsi" w:hAnsiTheme="minorHAnsi" w:cstheme="minorHAnsi"/>
          <w:lang w:val="en-US"/>
        </w:rPr>
        <w:t>, M. C. (2021). Evolution of antibody immunity to SARS-CoV-2. Nature, 591(7851), 639-644. https://doi.org/10.1038/s41586-021-03207-w.</w:t>
      </w:r>
    </w:p>
    <w:p w14:paraId="2537C717" w14:textId="77777777" w:rsidR="00AB693D" w:rsidRPr="00AB693D" w:rsidRDefault="00AB693D" w:rsidP="00AB693D">
      <w:pPr>
        <w:spacing w:line="480" w:lineRule="auto"/>
        <w:ind w:right="-1000"/>
        <w:jc w:val="both"/>
        <w:rPr>
          <w:rFonts w:asciiTheme="minorHAnsi" w:hAnsiTheme="minorHAnsi" w:cstheme="minorHAnsi"/>
          <w:lang w:val="en-US"/>
        </w:rPr>
      </w:pPr>
      <w:r w:rsidRPr="00AB693D">
        <w:rPr>
          <w:rFonts w:asciiTheme="minorHAnsi" w:hAnsiTheme="minorHAnsi" w:cstheme="minorHAnsi"/>
          <w:highlight w:val="cyan"/>
          <w:lang w:val="en-US"/>
        </w:rPr>
        <w:t xml:space="preserve">30. </w:t>
      </w:r>
      <w:proofErr w:type="spellStart"/>
      <w:r w:rsidRPr="00AB693D">
        <w:rPr>
          <w:rFonts w:asciiTheme="minorHAnsi" w:hAnsiTheme="minorHAnsi" w:cstheme="minorHAnsi"/>
          <w:highlight w:val="cyan"/>
          <w:lang w:val="en-US"/>
        </w:rPr>
        <w:t>Mlcochova</w:t>
      </w:r>
      <w:proofErr w:type="spellEnd"/>
      <w:r w:rsidRPr="00AB693D">
        <w:rPr>
          <w:rFonts w:asciiTheme="minorHAnsi" w:hAnsiTheme="minorHAnsi" w:cstheme="minorHAnsi"/>
          <w:highlight w:val="cyan"/>
          <w:lang w:val="en-US"/>
        </w:rPr>
        <w:t>, P., Kemp, S. A., Dhar, M. S., Papa, G., Meng, B., Ferreira, I. A. T. M., … Gupta, R. K. (2021). SARS-CoV-2 B.1.617.2 Delta variant replication and immune evasion. Nature, 599(7883), 114-119. https://doi.org/10.1038/s41586-021-03944-y.</w:t>
      </w:r>
    </w:p>
    <w:p w14:paraId="67DD733A" w14:textId="77777777" w:rsidR="00AB693D" w:rsidRPr="00AB693D" w:rsidRDefault="00AB693D" w:rsidP="00AB693D">
      <w:pPr>
        <w:spacing w:line="480" w:lineRule="auto"/>
        <w:jc w:val="both"/>
        <w:rPr>
          <w:rFonts w:asciiTheme="minorHAnsi" w:hAnsiTheme="minorHAnsi" w:cstheme="minorHAnsi"/>
          <w:lang w:val="en-US"/>
        </w:rPr>
      </w:pPr>
    </w:p>
    <w:p w14:paraId="3C1AF92A" w14:textId="10B3E21C" w:rsidR="00EF2224" w:rsidRPr="00E4475E" w:rsidRDefault="00EF2224" w:rsidP="00661EAE">
      <w:pPr>
        <w:spacing w:line="480" w:lineRule="auto"/>
        <w:ind w:left="-993" w:right="-1000"/>
        <w:jc w:val="both"/>
        <w:rPr>
          <w:rFonts w:asciiTheme="minorHAnsi" w:hAnsiTheme="minorHAnsi" w:cstheme="minorHAnsi"/>
          <w:lang w:val="en-US"/>
        </w:rPr>
      </w:pPr>
      <w:proofErr w:type="spellStart"/>
      <w:r w:rsidRPr="00F95A77">
        <w:rPr>
          <w:rFonts w:asciiTheme="minorHAnsi" w:hAnsiTheme="minorHAnsi" w:cstheme="minorHAnsi"/>
          <w:highlight w:val="cyan"/>
          <w:lang w:val="en-US"/>
        </w:rPr>
        <w:t>une</w:t>
      </w:r>
      <w:proofErr w:type="spellEnd"/>
      <w:r w:rsidRPr="00F95A77">
        <w:rPr>
          <w:rFonts w:asciiTheme="minorHAnsi" w:hAnsiTheme="minorHAnsi" w:cstheme="minorHAnsi"/>
          <w:highlight w:val="cyan"/>
          <w:lang w:val="en-US"/>
        </w:rPr>
        <w:t xml:space="preserve"> evasion. Nature,</w:t>
      </w:r>
      <w:r w:rsidRPr="00F95A77">
        <w:rPr>
          <w:rFonts w:asciiTheme="minorHAnsi" w:hAnsiTheme="minorHAnsi" w:cstheme="minorHAnsi"/>
          <w:i/>
          <w:iCs/>
          <w:highlight w:val="cyan"/>
          <w:lang w:val="en-US"/>
        </w:rPr>
        <w:t xml:space="preserve"> </w:t>
      </w:r>
      <w:r w:rsidRPr="00F95A77">
        <w:rPr>
          <w:rFonts w:asciiTheme="minorHAnsi" w:hAnsiTheme="minorHAnsi" w:cstheme="minorHAnsi"/>
          <w:highlight w:val="cyan"/>
          <w:lang w:val="en-US"/>
        </w:rPr>
        <w:t xml:space="preserve">1–6. </w:t>
      </w:r>
      <w:r w:rsidRPr="00F95A77">
        <w:rPr>
          <w:rFonts w:asciiTheme="minorHAnsi" w:hAnsiTheme="minorHAnsi" w:cstheme="minorHAnsi"/>
          <w:i/>
          <w:iCs/>
          <w:highlight w:val="cyan"/>
          <w:lang w:val="en-US"/>
        </w:rPr>
        <w:t>doi</w:t>
      </w:r>
      <w:r w:rsidRPr="00F95A77">
        <w:rPr>
          <w:rFonts w:asciiTheme="minorHAnsi" w:hAnsiTheme="minorHAnsi" w:cstheme="minorHAnsi"/>
          <w:highlight w:val="cyan"/>
          <w:lang w:val="en-US"/>
        </w:rPr>
        <w:t>:10.1038/s41586-021-03944-y.</w:t>
      </w:r>
    </w:p>
    <w:p w14:paraId="26DF4CC9" w14:textId="77777777" w:rsidR="003450E7" w:rsidRPr="00E4475E" w:rsidRDefault="003450E7" w:rsidP="006E48F2">
      <w:pPr>
        <w:spacing w:line="480" w:lineRule="auto"/>
        <w:jc w:val="both"/>
        <w:rPr>
          <w:rFonts w:asciiTheme="minorHAnsi" w:hAnsiTheme="minorHAnsi" w:cstheme="minorHAnsi"/>
          <w:lang w:val="en-US"/>
        </w:rPr>
      </w:pPr>
    </w:p>
    <w:p w14:paraId="6E78D40F" w14:textId="77777777" w:rsidR="003450E7" w:rsidRPr="00E4475E" w:rsidRDefault="003450E7" w:rsidP="006E48F2">
      <w:pPr>
        <w:spacing w:line="480" w:lineRule="auto"/>
        <w:jc w:val="both"/>
        <w:rPr>
          <w:lang w:val="en-US"/>
        </w:rPr>
      </w:pPr>
    </w:p>
    <w:p w14:paraId="38C0C911" w14:textId="77777777" w:rsidR="00C67F7C" w:rsidRDefault="00C67F7C" w:rsidP="00C67F7C">
      <w:pPr>
        <w:jc w:val="both"/>
        <w:rPr>
          <w:rFonts w:asciiTheme="minorHAnsi" w:hAnsiTheme="minorHAnsi" w:cstheme="minorHAnsi"/>
          <w:color w:val="000000"/>
          <w:lang w:val="en-US"/>
        </w:rPr>
      </w:pPr>
      <w:r>
        <w:rPr>
          <w:rFonts w:asciiTheme="minorHAnsi" w:hAnsiTheme="minorHAnsi" w:cstheme="minorHAnsi"/>
          <w:color w:val="000000"/>
          <w:lang w:val="en-US"/>
        </w:rPr>
        <w:t xml:space="preserve">Legend to </w:t>
      </w:r>
      <w:r w:rsidRPr="005B1360">
        <w:rPr>
          <w:rFonts w:asciiTheme="minorHAnsi" w:hAnsiTheme="minorHAnsi" w:cstheme="minorHAnsi"/>
          <w:color w:val="000000"/>
          <w:lang w:val="en-US"/>
        </w:rPr>
        <w:t xml:space="preserve">Figure 1. </w:t>
      </w:r>
    </w:p>
    <w:p w14:paraId="56EE6B8A" w14:textId="77777777" w:rsidR="00C67F7C" w:rsidRDefault="00C67F7C" w:rsidP="00C67F7C">
      <w:pPr>
        <w:jc w:val="both"/>
        <w:rPr>
          <w:rFonts w:asciiTheme="minorHAnsi" w:hAnsiTheme="minorHAnsi" w:cstheme="minorHAnsi"/>
          <w:color w:val="000000"/>
          <w:lang w:val="en-US"/>
        </w:rPr>
      </w:pPr>
    </w:p>
    <w:p w14:paraId="13A06939" w14:textId="3F08C568" w:rsidR="00C67F7C" w:rsidRDefault="00C67F7C" w:rsidP="00C67F7C">
      <w:pPr>
        <w:jc w:val="both"/>
        <w:rPr>
          <w:rFonts w:asciiTheme="minorHAnsi" w:hAnsiTheme="minorHAnsi" w:cstheme="minorHAnsi"/>
          <w:lang w:val="en-US"/>
        </w:rPr>
      </w:pPr>
      <w:r w:rsidRPr="00AB6AC9">
        <w:rPr>
          <w:rFonts w:asciiTheme="minorHAnsi" w:hAnsiTheme="minorHAnsi" w:cstheme="minorHAnsi"/>
          <w:lang w:val="en-US"/>
        </w:rPr>
        <w:t>Neutralizing titers (log transformed as described in Methods) for each individual of the non-pre-exposed (A) and pre-exposed (B) groups. Titers against different strains are represented with different colors (blue for B.1, green for B.1.1.7, red for B.1.351). Samples are separated by collection time: samples collected before vaccination (basal, ●), samples collected</w:t>
      </w:r>
      <w:r>
        <w:rPr>
          <w:rFonts w:asciiTheme="minorHAnsi" w:hAnsiTheme="minorHAnsi" w:cstheme="minorHAnsi"/>
          <w:lang w:val="en-US"/>
        </w:rPr>
        <w:t xml:space="preserve"> on</w:t>
      </w:r>
      <w:r w:rsidRPr="00AB6AC9">
        <w:rPr>
          <w:rFonts w:asciiTheme="minorHAnsi" w:hAnsiTheme="minorHAnsi" w:cstheme="minorHAnsi"/>
          <w:lang w:val="en-US"/>
        </w:rPr>
        <w:t xml:space="preserve"> the same day tha</w:t>
      </w:r>
      <w:r>
        <w:rPr>
          <w:rFonts w:asciiTheme="minorHAnsi" w:hAnsiTheme="minorHAnsi" w:cstheme="minorHAnsi"/>
          <w:lang w:val="en-US"/>
        </w:rPr>
        <w:t>t</w:t>
      </w:r>
      <w:r w:rsidRPr="00AB6AC9">
        <w:rPr>
          <w:rFonts w:asciiTheme="minorHAnsi" w:hAnsiTheme="minorHAnsi" w:cstheme="minorHAnsi"/>
          <w:lang w:val="en-US"/>
        </w:rPr>
        <w:t xml:space="preserve"> the second dose was administered corresponding to antibodies triggered by the first vaccine dose (dose 1, </w:t>
      </w:r>
      <w:r w:rsidRPr="00AB6AC9">
        <w:rPr>
          <w:rFonts w:ascii="Arial" w:hAnsi="Arial" w:cs="Arial"/>
          <w:lang w:val="en-US"/>
        </w:rPr>
        <w:t>▲</w:t>
      </w:r>
      <w:r w:rsidRPr="00AB6AC9">
        <w:rPr>
          <w:rFonts w:asciiTheme="minorHAnsi" w:hAnsiTheme="minorHAnsi" w:cstheme="minorHAnsi"/>
          <w:lang w:val="en-US"/>
        </w:rPr>
        <w:t xml:space="preserve">), samples collected two weeks after administration of the second vaccine dose (dose 2, </w:t>
      </w:r>
      <w:r w:rsidRPr="00AB6AC9">
        <w:rPr>
          <w:rFonts w:ascii="Arial" w:hAnsi="Arial" w:cs="Arial"/>
          <w:lang w:val="en-US"/>
        </w:rPr>
        <w:t>■</w:t>
      </w:r>
      <w:r w:rsidRPr="00AB6AC9">
        <w:rPr>
          <w:rFonts w:asciiTheme="minorHAnsi" w:hAnsiTheme="minorHAnsi" w:cstheme="minorHAnsi"/>
          <w:lang w:val="en-US"/>
        </w:rPr>
        <w:t>). Geometric mean titers for each subgroup are represented with large markers. Evolution between basal, dose 1 and dose 2 antibody geometric mean titers are represented by solid lines for each subgroup. Titers in each group were compared between each pair of strains by a Wilcoxon test. Significantly different paired groups are marked with ** (p &lt; 0.01) while no</w:t>
      </w:r>
      <w:r>
        <w:rPr>
          <w:rFonts w:asciiTheme="minorHAnsi" w:hAnsiTheme="minorHAnsi" w:cstheme="minorHAnsi"/>
          <w:lang w:val="en-US"/>
        </w:rPr>
        <w:t>t</w:t>
      </w:r>
      <w:r w:rsidRPr="00AB6AC9">
        <w:rPr>
          <w:rFonts w:asciiTheme="minorHAnsi" w:hAnsiTheme="minorHAnsi" w:cstheme="minorHAnsi"/>
          <w:lang w:val="en-US"/>
        </w:rPr>
        <w:t xml:space="preserve"> significantly different paired groups are marked with * (p &gt; 0.05).</w:t>
      </w:r>
    </w:p>
    <w:p w14:paraId="4E8A09C3" w14:textId="20A555A8" w:rsidR="00F43BD0" w:rsidRDefault="00F43BD0" w:rsidP="00C67F7C">
      <w:pPr>
        <w:jc w:val="both"/>
        <w:rPr>
          <w:rFonts w:asciiTheme="minorHAnsi" w:hAnsiTheme="minorHAnsi" w:cstheme="minorHAnsi"/>
          <w:lang w:val="en-US"/>
        </w:rPr>
      </w:pPr>
    </w:p>
    <w:p w14:paraId="01D3E361" w14:textId="3D89F8A1" w:rsidR="00F43BD0" w:rsidRPr="00AB6AC9" w:rsidRDefault="00F43BD0" w:rsidP="00C67F7C">
      <w:pPr>
        <w:jc w:val="both"/>
        <w:rPr>
          <w:rFonts w:asciiTheme="minorHAnsi" w:hAnsiTheme="minorHAnsi" w:cstheme="minorHAnsi"/>
          <w:lang w:val="en-US"/>
        </w:rPr>
      </w:pPr>
    </w:p>
    <w:p w14:paraId="0BF16C41" w14:textId="77777777" w:rsidR="00C67F7C" w:rsidRPr="00CF5C83" w:rsidRDefault="00C67F7C" w:rsidP="00C67F7C">
      <w:pPr>
        <w:rPr>
          <w:lang w:val="en-US"/>
        </w:rPr>
      </w:pPr>
    </w:p>
    <w:p w14:paraId="64D64F61" w14:textId="772FF4E1" w:rsidR="005B3DAB" w:rsidRPr="005B3DAB" w:rsidRDefault="005B3DAB" w:rsidP="00FD2C1D">
      <w:pPr>
        <w:spacing w:line="480" w:lineRule="auto"/>
        <w:jc w:val="both"/>
        <w:rPr>
          <w:rFonts w:asciiTheme="minorHAnsi" w:hAnsiTheme="minorHAnsi" w:cstheme="minorHAnsi"/>
          <w:color w:val="000000"/>
          <w:lang w:val="en-US"/>
        </w:rPr>
      </w:pPr>
    </w:p>
    <w:sectPr w:rsidR="005B3DAB" w:rsidRPr="005B3DAB" w:rsidSect="0007161C">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E47F58"/>
    <w:multiLevelType w:val="hybridMultilevel"/>
    <w:tmpl w:val="67FA50DC"/>
    <w:lvl w:ilvl="0" w:tplc="040A000F">
      <w:start w:val="1"/>
      <w:numFmt w:val="decimal"/>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61802CC1"/>
    <w:multiLevelType w:val="multilevel"/>
    <w:tmpl w:val="4DE0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EE7171"/>
    <w:multiLevelType w:val="multilevel"/>
    <w:tmpl w:val="79A65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456"/>
    <w:rsid w:val="000037D3"/>
    <w:rsid w:val="0000674E"/>
    <w:rsid w:val="000217E2"/>
    <w:rsid w:val="00025F83"/>
    <w:rsid w:val="00042E3D"/>
    <w:rsid w:val="0005319F"/>
    <w:rsid w:val="00062F35"/>
    <w:rsid w:val="000667FF"/>
    <w:rsid w:val="0007161C"/>
    <w:rsid w:val="000851FB"/>
    <w:rsid w:val="000976E6"/>
    <w:rsid w:val="000D3934"/>
    <w:rsid w:val="000F0334"/>
    <w:rsid w:val="000F44E4"/>
    <w:rsid w:val="0011621E"/>
    <w:rsid w:val="0011658B"/>
    <w:rsid w:val="00127811"/>
    <w:rsid w:val="00136456"/>
    <w:rsid w:val="00174913"/>
    <w:rsid w:val="00177F70"/>
    <w:rsid w:val="00194247"/>
    <w:rsid w:val="001A66B2"/>
    <w:rsid w:val="001B2702"/>
    <w:rsid w:val="001D5BEC"/>
    <w:rsid w:val="001F2659"/>
    <w:rsid w:val="001F5EAB"/>
    <w:rsid w:val="001F60FE"/>
    <w:rsid w:val="00202107"/>
    <w:rsid w:val="00220EF4"/>
    <w:rsid w:val="00223CF4"/>
    <w:rsid w:val="00241461"/>
    <w:rsid w:val="00253528"/>
    <w:rsid w:val="002618A5"/>
    <w:rsid w:val="0027290A"/>
    <w:rsid w:val="002A62F9"/>
    <w:rsid w:val="002B665F"/>
    <w:rsid w:val="002B6E24"/>
    <w:rsid w:val="002C3795"/>
    <w:rsid w:val="002D6C4B"/>
    <w:rsid w:val="0030208A"/>
    <w:rsid w:val="00312707"/>
    <w:rsid w:val="003145E8"/>
    <w:rsid w:val="00316045"/>
    <w:rsid w:val="003179A7"/>
    <w:rsid w:val="00323B35"/>
    <w:rsid w:val="003450E7"/>
    <w:rsid w:val="0034564A"/>
    <w:rsid w:val="00352030"/>
    <w:rsid w:val="0036203F"/>
    <w:rsid w:val="003719D7"/>
    <w:rsid w:val="00381C5B"/>
    <w:rsid w:val="003E7E6C"/>
    <w:rsid w:val="003F243E"/>
    <w:rsid w:val="00417109"/>
    <w:rsid w:val="00425AA2"/>
    <w:rsid w:val="0045198E"/>
    <w:rsid w:val="00465F74"/>
    <w:rsid w:val="00467495"/>
    <w:rsid w:val="004876DF"/>
    <w:rsid w:val="00487B6E"/>
    <w:rsid w:val="004B19F0"/>
    <w:rsid w:val="004D0BFA"/>
    <w:rsid w:val="004D1E7B"/>
    <w:rsid w:val="004F2D46"/>
    <w:rsid w:val="00502F50"/>
    <w:rsid w:val="0052389A"/>
    <w:rsid w:val="00526D90"/>
    <w:rsid w:val="00546A30"/>
    <w:rsid w:val="005519EC"/>
    <w:rsid w:val="005632A3"/>
    <w:rsid w:val="00564CEC"/>
    <w:rsid w:val="00570454"/>
    <w:rsid w:val="00573168"/>
    <w:rsid w:val="00580B3A"/>
    <w:rsid w:val="005821DE"/>
    <w:rsid w:val="00583BAA"/>
    <w:rsid w:val="005A4260"/>
    <w:rsid w:val="005B1360"/>
    <w:rsid w:val="005B3DAB"/>
    <w:rsid w:val="005C140E"/>
    <w:rsid w:val="005C1673"/>
    <w:rsid w:val="005D17CA"/>
    <w:rsid w:val="005D3609"/>
    <w:rsid w:val="005E3D97"/>
    <w:rsid w:val="00612623"/>
    <w:rsid w:val="00620001"/>
    <w:rsid w:val="00632095"/>
    <w:rsid w:val="0066063B"/>
    <w:rsid w:val="0066172F"/>
    <w:rsid w:val="00661EAE"/>
    <w:rsid w:val="00664474"/>
    <w:rsid w:val="0066676B"/>
    <w:rsid w:val="006710A3"/>
    <w:rsid w:val="006759A6"/>
    <w:rsid w:val="00676AE9"/>
    <w:rsid w:val="006817D7"/>
    <w:rsid w:val="00690C0B"/>
    <w:rsid w:val="006E48F2"/>
    <w:rsid w:val="006E74B2"/>
    <w:rsid w:val="006F74EF"/>
    <w:rsid w:val="0072338A"/>
    <w:rsid w:val="00732CBD"/>
    <w:rsid w:val="00740EB4"/>
    <w:rsid w:val="00741531"/>
    <w:rsid w:val="00744908"/>
    <w:rsid w:val="007459B7"/>
    <w:rsid w:val="0074610A"/>
    <w:rsid w:val="00762DC9"/>
    <w:rsid w:val="007638A2"/>
    <w:rsid w:val="007734FD"/>
    <w:rsid w:val="00795F1E"/>
    <w:rsid w:val="007A315E"/>
    <w:rsid w:val="007A706A"/>
    <w:rsid w:val="007A792B"/>
    <w:rsid w:val="007B19E7"/>
    <w:rsid w:val="007C22D3"/>
    <w:rsid w:val="007C5DFC"/>
    <w:rsid w:val="007C7480"/>
    <w:rsid w:val="007E679E"/>
    <w:rsid w:val="007E6B6A"/>
    <w:rsid w:val="007F0B8E"/>
    <w:rsid w:val="007F0B9C"/>
    <w:rsid w:val="007F3788"/>
    <w:rsid w:val="00821683"/>
    <w:rsid w:val="008307B7"/>
    <w:rsid w:val="0083086E"/>
    <w:rsid w:val="0085754F"/>
    <w:rsid w:val="00866956"/>
    <w:rsid w:val="008777B5"/>
    <w:rsid w:val="00886DC3"/>
    <w:rsid w:val="008905D9"/>
    <w:rsid w:val="008D1846"/>
    <w:rsid w:val="008D6B3A"/>
    <w:rsid w:val="00907A8D"/>
    <w:rsid w:val="009121AE"/>
    <w:rsid w:val="00933194"/>
    <w:rsid w:val="009638C9"/>
    <w:rsid w:val="00967173"/>
    <w:rsid w:val="00981704"/>
    <w:rsid w:val="009B2567"/>
    <w:rsid w:val="009B2667"/>
    <w:rsid w:val="009B34B8"/>
    <w:rsid w:val="009D2FB5"/>
    <w:rsid w:val="009E55E7"/>
    <w:rsid w:val="009E5C8C"/>
    <w:rsid w:val="009E6F01"/>
    <w:rsid w:val="009F7C48"/>
    <w:rsid w:val="00A02869"/>
    <w:rsid w:val="00A10F73"/>
    <w:rsid w:val="00A37C9D"/>
    <w:rsid w:val="00A5068E"/>
    <w:rsid w:val="00A7620B"/>
    <w:rsid w:val="00A91E3D"/>
    <w:rsid w:val="00A92DE9"/>
    <w:rsid w:val="00A939E0"/>
    <w:rsid w:val="00A976ED"/>
    <w:rsid w:val="00AB4B0B"/>
    <w:rsid w:val="00AB693D"/>
    <w:rsid w:val="00AB7925"/>
    <w:rsid w:val="00B12D2B"/>
    <w:rsid w:val="00B30485"/>
    <w:rsid w:val="00B304BB"/>
    <w:rsid w:val="00B30E30"/>
    <w:rsid w:val="00B43164"/>
    <w:rsid w:val="00B55CE7"/>
    <w:rsid w:val="00B61ED4"/>
    <w:rsid w:val="00BA7021"/>
    <w:rsid w:val="00BB6AAD"/>
    <w:rsid w:val="00BB7B34"/>
    <w:rsid w:val="00BF55BD"/>
    <w:rsid w:val="00C05142"/>
    <w:rsid w:val="00C12771"/>
    <w:rsid w:val="00C200CF"/>
    <w:rsid w:val="00C21E0A"/>
    <w:rsid w:val="00C27BCF"/>
    <w:rsid w:val="00C3381C"/>
    <w:rsid w:val="00C37845"/>
    <w:rsid w:val="00C445B0"/>
    <w:rsid w:val="00C539DD"/>
    <w:rsid w:val="00C67F7C"/>
    <w:rsid w:val="00C701FE"/>
    <w:rsid w:val="00C73265"/>
    <w:rsid w:val="00C73890"/>
    <w:rsid w:val="00C93380"/>
    <w:rsid w:val="00C9523F"/>
    <w:rsid w:val="00C978C6"/>
    <w:rsid w:val="00CC69FB"/>
    <w:rsid w:val="00CE1523"/>
    <w:rsid w:val="00CF5B50"/>
    <w:rsid w:val="00D0372A"/>
    <w:rsid w:val="00D274D8"/>
    <w:rsid w:val="00D52CFB"/>
    <w:rsid w:val="00D64FBD"/>
    <w:rsid w:val="00D66616"/>
    <w:rsid w:val="00D74A26"/>
    <w:rsid w:val="00D91C02"/>
    <w:rsid w:val="00D95099"/>
    <w:rsid w:val="00DB40AC"/>
    <w:rsid w:val="00DC241D"/>
    <w:rsid w:val="00DC3385"/>
    <w:rsid w:val="00DC790E"/>
    <w:rsid w:val="00DD4246"/>
    <w:rsid w:val="00DE5062"/>
    <w:rsid w:val="00DF1F87"/>
    <w:rsid w:val="00E20FAC"/>
    <w:rsid w:val="00E366C1"/>
    <w:rsid w:val="00E4475E"/>
    <w:rsid w:val="00E44E91"/>
    <w:rsid w:val="00E532FF"/>
    <w:rsid w:val="00E55A4A"/>
    <w:rsid w:val="00E566D5"/>
    <w:rsid w:val="00E60993"/>
    <w:rsid w:val="00E6520A"/>
    <w:rsid w:val="00E97FB7"/>
    <w:rsid w:val="00EA6AF7"/>
    <w:rsid w:val="00EC277C"/>
    <w:rsid w:val="00EC510D"/>
    <w:rsid w:val="00ED0AA8"/>
    <w:rsid w:val="00EF1C11"/>
    <w:rsid w:val="00EF2224"/>
    <w:rsid w:val="00EF7D55"/>
    <w:rsid w:val="00F07DDA"/>
    <w:rsid w:val="00F273B8"/>
    <w:rsid w:val="00F35A52"/>
    <w:rsid w:val="00F36457"/>
    <w:rsid w:val="00F43BD0"/>
    <w:rsid w:val="00F520FF"/>
    <w:rsid w:val="00F95A77"/>
    <w:rsid w:val="00FC0CB3"/>
    <w:rsid w:val="00FC1140"/>
    <w:rsid w:val="00FC3105"/>
    <w:rsid w:val="00FC55C1"/>
    <w:rsid w:val="00FD2C1D"/>
    <w:rsid w:val="00FE06A9"/>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0BC97"/>
  <w15:chartTrackingRefBased/>
  <w15:docId w15:val="{2C2959D6-B5D2-3B4C-88AB-DD3D319F2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9EC"/>
    <w:rPr>
      <w:rFonts w:ascii="Times New Roman" w:eastAsia="Times New Roman" w:hAnsi="Times New Roman" w:cs="Times New Roman"/>
      <w:lang w:eastAsia="es-ES_tradnl"/>
    </w:rPr>
  </w:style>
  <w:style w:type="paragraph" w:styleId="Ttulo1">
    <w:name w:val="heading 1"/>
    <w:basedOn w:val="Normal"/>
    <w:next w:val="Normal"/>
    <w:link w:val="Ttulo1Car"/>
    <w:uiPriority w:val="9"/>
    <w:qFormat/>
    <w:rsid w:val="00B61ED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465F74"/>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36456"/>
    <w:rPr>
      <w:color w:val="0563C1" w:themeColor="hyperlink"/>
      <w:u w:val="single"/>
    </w:rPr>
  </w:style>
  <w:style w:type="character" w:customStyle="1" w:styleId="Mencinsinresolver1">
    <w:name w:val="Mención sin resolver1"/>
    <w:basedOn w:val="Fuentedeprrafopredeter"/>
    <w:uiPriority w:val="99"/>
    <w:semiHidden/>
    <w:unhideWhenUsed/>
    <w:rsid w:val="00136456"/>
    <w:rPr>
      <w:color w:val="605E5C"/>
      <w:shd w:val="clear" w:color="auto" w:fill="E1DFDD"/>
    </w:rPr>
  </w:style>
  <w:style w:type="character" w:customStyle="1" w:styleId="apple-converted-space">
    <w:name w:val="apple-converted-space"/>
    <w:basedOn w:val="Fuentedeprrafopredeter"/>
    <w:rsid w:val="00DB40AC"/>
  </w:style>
  <w:style w:type="character" w:styleId="Hipervnculovisitado">
    <w:name w:val="FollowedHyperlink"/>
    <w:basedOn w:val="Fuentedeprrafopredeter"/>
    <w:uiPriority w:val="99"/>
    <w:semiHidden/>
    <w:unhideWhenUsed/>
    <w:rsid w:val="00741531"/>
    <w:rPr>
      <w:color w:val="954F72" w:themeColor="followedHyperlink"/>
      <w:u w:val="single"/>
    </w:rPr>
  </w:style>
  <w:style w:type="character" w:styleId="Refdecomentario">
    <w:name w:val="annotation reference"/>
    <w:basedOn w:val="Fuentedeprrafopredeter"/>
    <w:uiPriority w:val="99"/>
    <w:semiHidden/>
    <w:unhideWhenUsed/>
    <w:rsid w:val="00ED0AA8"/>
    <w:rPr>
      <w:sz w:val="16"/>
      <w:szCs w:val="16"/>
    </w:rPr>
  </w:style>
  <w:style w:type="paragraph" w:styleId="Textocomentario">
    <w:name w:val="annotation text"/>
    <w:basedOn w:val="Normal"/>
    <w:link w:val="TextocomentarioCar"/>
    <w:uiPriority w:val="99"/>
    <w:unhideWhenUsed/>
    <w:rsid w:val="00ED0AA8"/>
    <w:rPr>
      <w:sz w:val="20"/>
      <w:szCs w:val="20"/>
    </w:rPr>
  </w:style>
  <w:style w:type="character" w:customStyle="1" w:styleId="TextocomentarioCar">
    <w:name w:val="Texto comentario Car"/>
    <w:basedOn w:val="Fuentedeprrafopredeter"/>
    <w:link w:val="Textocomentario"/>
    <w:uiPriority w:val="99"/>
    <w:rsid w:val="00ED0AA8"/>
    <w:rPr>
      <w:rFonts w:ascii="Times New Roman" w:eastAsia="Times New Roman" w:hAnsi="Times New Roman" w:cs="Times New Roman"/>
      <w:sz w:val="20"/>
      <w:szCs w:val="20"/>
      <w:lang w:eastAsia="es-ES_tradnl"/>
    </w:rPr>
  </w:style>
  <w:style w:type="paragraph" w:styleId="Asuntodelcomentario">
    <w:name w:val="annotation subject"/>
    <w:basedOn w:val="Textocomentario"/>
    <w:next w:val="Textocomentario"/>
    <w:link w:val="AsuntodelcomentarioCar"/>
    <w:uiPriority w:val="99"/>
    <w:semiHidden/>
    <w:unhideWhenUsed/>
    <w:rsid w:val="00ED0AA8"/>
    <w:rPr>
      <w:b/>
      <w:bCs/>
    </w:rPr>
  </w:style>
  <w:style w:type="character" w:customStyle="1" w:styleId="AsuntodelcomentarioCar">
    <w:name w:val="Asunto del comentario Car"/>
    <w:basedOn w:val="TextocomentarioCar"/>
    <w:link w:val="Asuntodelcomentario"/>
    <w:uiPriority w:val="99"/>
    <w:semiHidden/>
    <w:rsid w:val="00ED0AA8"/>
    <w:rPr>
      <w:rFonts w:ascii="Times New Roman" w:eastAsia="Times New Roman" w:hAnsi="Times New Roman" w:cs="Times New Roman"/>
      <w:b/>
      <w:bCs/>
      <w:sz w:val="20"/>
      <w:szCs w:val="20"/>
      <w:lang w:eastAsia="es-ES_tradnl"/>
    </w:rPr>
  </w:style>
  <w:style w:type="character" w:customStyle="1" w:styleId="jlqj4b">
    <w:name w:val="jlqj4b"/>
    <w:basedOn w:val="Fuentedeprrafopredeter"/>
    <w:rsid w:val="00E366C1"/>
  </w:style>
  <w:style w:type="paragraph" w:styleId="NormalWeb">
    <w:name w:val="Normal (Web)"/>
    <w:basedOn w:val="Normal"/>
    <w:uiPriority w:val="99"/>
    <w:unhideWhenUsed/>
    <w:rsid w:val="00C539DD"/>
    <w:pPr>
      <w:spacing w:before="100" w:beforeAutospacing="1" w:after="100" w:afterAutospacing="1"/>
    </w:pPr>
  </w:style>
  <w:style w:type="character" w:styleId="Textoennegrita">
    <w:name w:val="Strong"/>
    <w:basedOn w:val="Fuentedeprrafopredeter"/>
    <w:uiPriority w:val="22"/>
    <w:qFormat/>
    <w:rsid w:val="00C539DD"/>
    <w:rPr>
      <w:b/>
      <w:bCs/>
    </w:rPr>
  </w:style>
  <w:style w:type="character" w:customStyle="1" w:styleId="Ttulo3Car">
    <w:name w:val="Título 3 Car"/>
    <w:basedOn w:val="Fuentedeprrafopredeter"/>
    <w:link w:val="Ttulo3"/>
    <w:uiPriority w:val="9"/>
    <w:rsid w:val="00465F74"/>
    <w:rPr>
      <w:rFonts w:ascii="Times New Roman" w:eastAsia="Times New Roman" w:hAnsi="Times New Roman" w:cs="Times New Roman"/>
      <w:b/>
      <w:bCs/>
      <w:sz w:val="27"/>
      <w:szCs w:val="27"/>
      <w:lang w:eastAsia="es-ES_tradnl"/>
    </w:rPr>
  </w:style>
  <w:style w:type="paragraph" w:customStyle="1" w:styleId="f-body">
    <w:name w:val="f-body"/>
    <w:basedOn w:val="Normal"/>
    <w:rsid w:val="00465F74"/>
    <w:pPr>
      <w:spacing w:before="100" w:beforeAutospacing="1" w:after="100" w:afterAutospacing="1"/>
    </w:pPr>
  </w:style>
  <w:style w:type="character" w:customStyle="1" w:styleId="Ttulo1Car">
    <w:name w:val="Título 1 Car"/>
    <w:basedOn w:val="Fuentedeprrafopredeter"/>
    <w:link w:val="Ttulo1"/>
    <w:uiPriority w:val="9"/>
    <w:rsid w:val="00B61ED4"/>
    <w:rPr>
      <w:rFonts w:asciiTheme="majorHAnsi" w:eastAsiaTheme="majorEastAsia" w:hAnsiTheme="majorHAnsi" w:cstheme="majorBidi"/>
      <w:color w:val="2F5496" w:themeColor="accent1" w:themeShade="BF"/>
      <w:sz w:val="32"/>
      <w:szCs w:val="32"/>
      <w:lang w:eastAsia="es-ES_tradnl"/>
    </w:rPr>
  </w:style>
  <w:style w:type="character" w:customStyle="1" w:styleId="titledefault">
    <w:name w:val="title_default"/>
    <w:basedOn w:val="Fuentedeprrafopredeter"/>
    <w:rsid w:val="00B61ED4"/>
  </w:style>
  <w:style w:type="paragraph" w:styleId="Prrafodelista">
    <w:name w:val="List Paragraph"/>
    <w:basedOn w:val="Normal"/>
    <w:uiPriority w:val="34"/>
    <w:qFormat/>
    <w:rsid w:val="00981704"/>
    <w:pPr>
      <w:ind w:left="720"/>
      <w:contextualSpacing/>
    </w:pPr>
  </w:style>
  <w:style w:type="paragraph" w:styleId="Textodeglobo">
    <w:name w:val="Balloon Text"/>
    <w:basedOn w:val="Normal"/>
    <w:link w:val="TextodegloboCar"/>
    <w:uiPriority w:val="99"/>
    <w:semiHidden/>
    <w:unhideWhenUsed/>
    <w:rsid w:val="007A315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315E"/>
    <w:rPr>
      <w:rFonts w:ascii="Segoe UI" w:eastAsia="Times New Roman" w:hAnsi="Segoe UI" w:cs="Segoe UI"/>
      <w:sz w:val="18"/>
      <w:szCs w:val="18"/>
      <w:lang w:eastAsia="es-ES_tradnl"/>
    </w:rPr>
  </w:style>
  <w:style w:type="character" w:styleId="Mencinsinresolver">
    <w:name w:val="Unresolved Mention"/>
    <w:basedOn w:val="Fuentedeprrafopredeter"/>
    <w:uiPriority w:val="99"/>
    <w:semiHidden/>
    <w:unhideWhenUsed/>
    <w:rsid w:val="00564CEC"/>
    <w:rPr>
      <w:color w:val="605E5C"/>
      <w:shd w:val="clear" w:color="auto" w:fill="E1DFDD"/>
    </w:rPr>
  </w:style>
  <w:style w:type="character" w:customStyle="1" w:styleId="doi">
    <w:name w:val="doi"/>
    <w:basedOn w:val="Fuentedeprrafopredeter"/>
    <w:rsid w:val="007459B7"/>
  </w:style>
  <w:style w:type="character" w:customStyle="1" w:styleId="text">
    <w:name w:val="text"/>
    <w:basedOn w:val="Fuentedeprrafopredeter"/>
    <w:rsid w:val="00C978C6"/>
  </w:style>
  <w:style w:type="character" w:customStyle="1" w:styleId="author-ref">
    <w:name w:val="author-ref"/>
    <w:basedOn w:val="Fuentedeprrafopredeter"/>
    <w:rsid w:val="00C978C6"/>
  </w:style>
  <w:style w:type="character" w:customStyle="1" w:styleId="title-text">
    <w:name w:val="title-text"/>
    <w:basedOn w:val="Fuentedeprrafopredeter"/>
    <w:rsid w:val="00C978C6"/>
  </w:style>
  <w:style w:type="character" w:styleId="nfasis">
    <w:name w:val="Emphasis"/>
    <w:basedOn w:val="Fuentedeprrafopredeter"/>
    <w:uiPriority w:val="20"/>
    <w:qFormat/>
    <w:rsid w:val="00821683"/>
    <w:rPr>
      <w:i/>
      <w:iCs/>
    </w:rPr>
  </w:style>
  <w:style w:type="character" w:customStyle="1" w:styleId="etal-word">
    <w:name w:val="etal-word"/>
    <w:basedOn w:val="Fuentedeprrafopredeter"/>
    <w:rsid w:val="00821683"/>
  </w:style>
  <w:style w:type="character" w:customStyle="1" w:styleId="highwire-cite-metadata-pages">
    <w:name w:val="highwire-cite-metadata-pages"/>
    <w:basedOn w:val="Fuentedeprrafopredeter"/>
    <w:rsid w:val="0027290A"/>
  </w:style>
  <w:style w:type="character" w:customStyle="1" w:styleId="authors-list-item">
    <w:name w:val="authors-list-item"/>
    <w:basedOn w:val="Fuentedeprrafopredeter"/>
    <w:rsid w:val="0027290A"/>
  </w:style>
  <w:style w:type="character" w:customStyle="1" w:styleId="author-sup-separator">
    <w:name w:val="author-sup-separator"/>
    <w:basedOn w:val="Fuentedeprrafopredeter"/>
    <w:rsid w:val="0027290A"/>
  </w:style>
  <w:style w:type="character" w:customStyle="1" w:styleId="citation-doi">
    <w:name w:val="citation-doi"/>
    <w:basedOn w:val="Fuentedeprrafopredeter"/>
    <w:rsid w:val="000037D3"/>
  </w:style>
  <w:style w:type="character" w:customStyle="1" w:styleId="meta-citation">
    <w:name w:val="meta-citation"/>
    <w:basedOn w:val="Fuentedeprrafopredeter"/>
    <w:rsid w:val="00DC3385"/>
  </w:style>
  <w:style w:type="character" w:customStyle="1" w:styleId="highwire-cite-metadata-doi">
    <w:name w:val="highwire-cite-metadata-doi"/>
    <w:basedOn w:val="Fuentedeprrafopredeter"/>
    <w:rsid w:val="00DC3385"/>
  </w:style>
  <w:style w:type="character" w:customStyle="1" w:styleId="nlm-surname">
    <w:name w:val="nlm-surname"/>
    <w:basedOn w:val="Fuentedeprrafopredeter"/>
    <w:rsid w:val="00A7620B"/>
  </w:style>
  <w:style w:type="character" w:styleId="Nmerodelnea">
    <w:name w:val="line number"/>
    <w:basedOn w:val="Fuentedeprrafopredeter"/>
    <w:uiPriority w:val="99"/>
    <w:semiHidden/>
    <w:unhideWhenUsed/>
    <w:rsid w:val="00042E3D"/>
  </w:style>
  <w:style w:type="paragraph" w:customStyle="1" w:styleId="p">
    <w:name w:val="p"/>
    <w:basedOn w:val="Normal"/>
    <w:rsid w:val="0083086E"/>
    <w:pPr>
      <w:spacing w:before="100" w:beforeAutospacing="1" w:after="100" w:afterAutospacing="1"/>
    </w:pPr>
    <w:rPr>
      <w:lang w:eastAsia="es-ES"/>
    </w:rPr>
  </w:style>
  <w:style w:type="character" w:customStyle="1" w:styleId="element-citation">
    <w:name w:val="element-citation"/>
    <w:basedOn w:val="Fuentedeprrafopredeter"/>
    <w:rsid w:val="0083086E"/>
  </w:style>
  <w:style w:type="character" w:customStyle="1" w:styleId="highwire-cite-metadata-journal">
    <w:name w:val="highwire-cite-metadata-journal"/>
    <w:basedOn w:val="Fuentedeprrafopredeter"/>
    <w:rsid w:val="009B3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399427">
      <w:bodyDiv w:val="1"/>
      <w:marLeft w:val="0"/>
      <w:marRight w:val="0"/>
      <w:marTop w:val="0"/>
      <w:marBottom w:val="0"/>
      <w:divBdr>
        <w:top w:val="none" w:sz="0" w:space="0" w:color="auto"/>
        <w:left w:val="none" w:sz="0" w:space="0" w:color="auto"/>
        <w:bottom w:val="none" w:sz="0" w:space="0" w:color="auto"/>
        <w:right w:val="none" w:sz="0" w:space="0" w:color="auto"/>
      </w:divBdr>
    </w:div>
    <w:div w:id="244608878">
      <w:bodyDiv w:val="1"/>
      <w:marLeft w:val="0"/>
      <w:marRight w:val="0"/>
      <w:marTop w:val="0"/>
      <w:marBottom w:val="0"/>
      <w:divBdr>
        <w:top w:val="none" w:sz="0" w:space="0" w:color="auto"/>
        <w:left w:val="none" w:sz="0" w:space="0" w:color="auto"/>
        <w:bottom w:val="none" w:sz="0" w:space="0" w:color="auto"/>
        <w:right w:val="none" w:sz="0" w:space="0" w:color="auto"/>
      </w:divBdr>
    </w:div>
    <w:div w:id="256986319">
      <w:bodyDiv w:val="1"/>
      <w:marLeft w:val="0"/>
      <w:marRight w:val="0"/>
      <w:marTop w:val="0"/>
      <w:marBottom w:val="0"/>
      <w:divBdr>
        <w:top w:val="none" w:sz="0" w:space="0" w:color="auto"/>
        <w:left w:val="none" w:sz="0" w:space="0" w:color="auto"/>
        <w:bottom w:val="none" w:sz="0" w:space="0" w:color="auto"/>
        <w:right w:val="none" w:sz="0" w:space="0" w:color="auto"/>
      </w:divBdr>
    </w:div>
    <w:div w:id="275135530">
      <w:bodyDiv w:val="1"/>
      <w:marLeft w:val="0"/>
      <w:marRight w:val="0"/>
      <w:marTop w:val="0"/>
      <w:marBottom w:val="0"/>
      <w:divBdr>
        <w:top w:val="none" w:sz="0" w:space="0" w:color="auto"/>
        <w:left w:val="none" w:sz="0" w:space="0" w:color="auto"/>
        <w:bottom w:val="none" w:sz="0" w:space="0" w:color="auto"/>
        <w:right w:val="none" w:sz="0" w:space="0" w:color="auto"/>
      </w:divBdr>
    </w:div>
    <w:div w:id="314379802">
      <w:bodyDiv w:val="1"/>
      <w:marLeft w:val="0"/>
      <w:marRight w:val="0"/>
      <w:marTop w:val="0"/>
      <w:marBottom w:val="0"/>
      <w:divBdr>
        <w:top w:val="none" w:sz="0" w:space="0" w:color="auto"/>
        <w:left w:val="none" w:sz="0" w:space="0" w:color="auto"/>
        <w:bottom w:val="none" w:sz="0" w:space="0" w:color="auto"/>
        <w:right w:val="none" w:sz="0" w:space="0" w:color="auto"/>
      </w:divBdr>
    </w:div>
    <w:div w:id="441462140">
      <w:bodyDiv w:val="1"/>
      <w:marLeft w:val="0"/>
      <w:marRight w:val="0"/>
      <w:marTop w:val="0"/>
      <w:marBottom w:val="0"/>
      <w:divBdr>
        <w:top w:val="none" w:sz="0" w:space="0" w:color="auto"/>
        <w:left w:val="none" w:sz="0" w:space="0" w:color="auto"/>
        <w:bottom w:val="none" w:sz="0" w:space="0" w:color="auto"/>
        <w:right w:val="none" w:sz="0" w:space="0" w:color="auto"/>
      </w:divBdr>
    </w:div>
    <w:div w:id="465855509">
      <w:bodyDiv w:val="1"/>
      <w:marLeft w:val="0"/>
      <w:marRight w:val="0"/>
      <w:marTop w:val="0"/>
      <w:marBottom w:val="0"/>
      <w:divBdr>
        <w:top w:val="none" w:sz="0" w:space="0" w:color="auto"/>
        <w:left w:val="none" w:sz="0" w:space="0" w:color="auto"/>
        <w:bottom w:val="none" w:sz="0" w:space="0" w:color="auto"/>
        <w:right w:val="none" w:sz="0" w:space="0" w:color="auto"/>
      </w:divBdr>
    </w:div>
    <w:div w:id="489903209">
      <w:bodyDiv w:val="1"/>
      <w:marLeft w:val="0"/>
      <w:marRight w:val="0"/>
      <w:marTop w:val="0"/>
      <w:marBottom w:val="0"/>
      <w:divBdr>
        <w:top w:val="none" w:sz="0" w:space="0" w:color="auto"/>
        <w:left w:val="none" w:sz="0" w:space="0" w:color="auto"/>
        <w:bottom w:val="none" w:sz="0" w:space="0" w:color="auto"/>
        <w:right w:val="none" w:sz="0" w:space="0" w:color="auto"/>
      </w:divBdr>
    </w:div>
    <w:div w:id="532036771">
      <w:bodyDiv w:val="1"/>
      <w:marLeft w:val="0"/>
      <w:marRight w:val="0"/>
      <w:marTop w:val="0"/>
      <w:marBottom w:val="0"/>
      <w:divBdr>
        <w:top w:val="none" w:sz="0" w:space="0" w:color="auto"/>
        <w:left w:val="none" w:sz="0" w:space="0" w:color="auto"/>
        <w:bottom w:val="none" w:sz="0" w:space="0" w:color="auto"/>
        <w:right w:val="none" w:sz="0" w:space="0" w:color="auto"/>
      </w:divBdr>
      <w:divsChild>
        <w:div w:id="1160996885">
          <w:marLeft w:val="0"/>
          <w:marRight w:val="0"/>
          <w:marTop w:val="0"/>
          <w:marBottom w:val="0"/>
          <w:divBdr>
            <w:top w:val="none" w:sz="0" w:space="0" w:color="auto"/>
            <w:left w:val="none" w:sz="0" w:space="0" w:color="auto"/>
            <w:bottom w:val="none" w:sz="0" w:space="0" w:color="auto"/>
            <w:right w:val="none" w:sz="0" w:space="0" w:color="auto"/>
          </w:divBdr>
        </w:div>
      </w:divsChild>
    </w:div>
    <w:div w:id="541673434">
      <w:bodyDiv w:val="1"/>
      <w:marLeft w:val="0"/>
      <w:marRight w:val="0"/>
      <w:marTop w:val="0"/>
      <w:marBottom w:val="0"/>
      <w:divBdr>
        <w:top w:val="none" w:sz="0" w:space="0" w:color="auto"/>
        <w:left w:val="none" w:sz="0" w:space="0" w:color="auto"/>
        <w:bottom w:val="none" w:sz="0" w:space="0" w:color="auto"/>
        <w:right w:val="none" w:sz="0" w:space="0" w:color="auto"/>
      </w:divBdr>
    </w:div>
    <w:div w:id="548954571">
      <w:bodyDiv w:val="1"/>
      <w:marLeft w:val="0"/>
      <w:marRight w:val="0"/>
      <w:marTop w:val="0"/>
      <w:marBottom w:val="0"/>
      <w:divBdr>
        <w:top w:val="none" w:sz="0" w:space="0" w:color="auto"/>
        <w:left w:val="none" w:sz="0" w:space="0" w:color="auto"/>
        <w:bottom w:val="none" w:sz="0" w:space="0" w:color="auto"/>
        <w:right w:val="none" w:sz="0" w:space="0" w:color="auto"/>
      </w:divBdr>
      <w:divsChild>
        <w:div w:id="170218633">
          <w:marLeft w:val="0"/>
          <w:marRight w:val="0"/>
          <w:marTop w:val="0"/>
          <w:marBottom w:val="0"/>
          <w:divBdr>
            <w:top w:val="none" w:sz="0" w:space="0" w:color="auto"/>
            <w:left w:val="none" w:sz="0" w:space="0" w:color="auto"/>
            <w:bottom w:val="none" w:sz="0" w:space="0" w:color="auto"/>
            <w:right w:val="none" w:sz="0" w:space="0" w:color="auto"/>
          </w:divBdr>
        </w:div>
      </w:divsChild>
    </w:div>
    <w:div w:id="614406554">
      <w:bodyDiv w:val="1"/>
      <w:marLeft w:val="0"/>
      <w:marRight w:val="0"/>
      <w:marTop w:val="0"/>
      <w:marBottom w:val="0"/>
      <w:divBdr>
        <w:top w:val="none" w:sz="0" w:space="0" w:color="auto"/>
        <w:left w:val="none" w:sz="0" w:space="0" w:color="auto"/>
        <w:bottom w:val="none" w:sz="0" w:space="0" w:color="auto"/>
        <w:right w:val="none" w:sz="0" w:space="0" w:color="auto"/>
      </w:divBdr>
    </w:div>
    <w:div w:id="714544374">
      <w:bodyDiv w:val="1"/>
      <w:marLeft w:val="0"/>
      <w:marRight w:val="0"/>
      <w:marTop w:val="0"/>
      <w:marBottom w:val="0"/>
      <w:divBdr>
        <w:top w:val="none" w:sz="0" w:space="0" w:color="auto"/>
        <w:left w:val="none" w:sz="0" w:space="0" w:color="auto"/>
        <w:bottom w:val="none" w:sz="0" w:space="0" w:color="auto"/>
        <w:right w:val="none" w:sz="0" w:space="0" w:color="auto"/>
      </w:divBdr>
    </w:div>
    <w:div w:id="861361299">
      <w:bodyDiv w:val="1"/>
      <w:marLeft w:val="0"/>
      <w:marRight w:val="0"/>
      <w:marTop w:val="0"/>
      <w:marBottom w:val="0"/>
      <w:divBdr>
        <w:top w:val="none" w:sz="0" w:space="0" w:color="auto"/>
        <w:left w:val="none" w:sz="0" w:space="0" w:color="auto"/>
        <w:bottom w:val="none" w:sz="0" w:space="0" w:color="auto"/>
        <w:right w:val="none" w:sz="0" w:space="0" w:color="auto"/>
      </w:divBdr>
    </w:div>
    <w:div w:id="974599972">
      <w:bodyDiv w:val="1"/>
      <w:marLeft w:val="0"/>
      <w:marRight w:val="0"/>
      <w:marTop w:val="0"/>
      <w:marBottom w:val="0"/>
      <w:divBdr>
        <w:top w:val="none" w:sz="0" w:space="0" w:color="auto"/>
        <w:left w:val="none" w:sz="0" w:space="0" w:color="auto"/>
        <w:bottom w:val="none" w:sz="0" w:space="0" w:color="auto"/>
        <w:right w:val="none" w:sz="0" w:space="0" w:color="auto"/>
      </w:divBdr>
    </w:div>
    <w:div w:id="1009328241">
      <w:bodyDiv w:val="1"/>
      <w:marLeft w:val="0"/>
      <w:marRight w:val="0"/>
      <w:marTop w:val="0"/>
      <w:marBottom w:val="0"/>
      <w:divBdr>
        <w:top w:val="none" w:sz="0" w:space="0" w:color="auto"/>
        <w:left w:val="none" w:sz="0" w:space="0" w:color="auto"/>
        <w:bottom w:val="none" w:sz="0" w:space="0" w:color="auto"/>
        <w:right w:val="none" w:sz="0" w:space="0" w:color="auto"/>
      </w:divBdr>
    </w:div>
    <w:div w:id="1014841252">
      <w:bodyDiv w:val="1"/>
      <w:marLeft w:val="0"/>
      <w:marRight w:val="0"/>
      <w:marTop w:val="0"/>
      <w:marBottom w:val="0"/>
      <w:divBdr>
        <w:top w:val="none" w:sz="0" w:space="0" w:color="auto"/>
        <w:left w:val="none" w:sz="0" w:space="0" w:color="auto"/>
        <w:bottom w:val="none" w:sz="0" w:space="0" w:color="auto"/>
        <w:right w:val="none" w:sz="0" w:space="0" w:color="auto"/>
      </w:divBdr>
    </w:div>
    <w:div w:id="1130322949">
      <w:bodyDiv w:val="1"/>
      <w:marLeft w:val="0"/>
      <w:marRight w:val="0"/>
      <w:marTop w:val="0"/>
      <w:marBottom w:val="0"/>
      <w:divBdr>
        <w:top w:val="none" w:sz="0" w:space="0" w:color="auto"/>
        <w:left w:val="none" w:sz="0" w:space="0" w:color="auto"/>
        <w:bottom w:val="none" w:sz="0" w:space="0" w:color="auto"/>
        <w:right w:val="none" w:sz="0" w:space="0" w:color="auto"/>
      </w:divBdr>
    </w:div>
    <w:div w:id="1367292421">
      <w:bodyDiv w:val="1"/>
      <w:marLeft w:val="0"/>
      <w:marRight w:val="0"/>
      <w:marTop w:val="0"/>
      <w:marBottom w:val="0"/>
      <w:divBdr>
        <w:top w:val="none" w:sz="0" w:space="0" w:color="auto"/>
        <w:left w:val="none" w:sz="0" w:space="0" w:color="auto"/>
        <w:bottom w:val="none" w:sz="0" w:space="0" w:color="auto"/>
        <w:right w:val="none" w:sz="0" w:space="0" w:color="auto"/>
      </w:divBdr>
    </w:div>
    <w:div w:id="1722944784">
      <w:bodyDiv w:val="1"/>
      <w:marLeft w:val="0"/>
      <w:marRight w:val="0"/>
      <w:marTop w:val="0"/>
      <w:marBottom w:val="0"/>
      <w:divBdr>
        <w:top w:val="none" w:sz="0" w:space="0" w:color="auto"/>
        <w:left w:val="none" w:sz="0" w:space="0" w:color="auto"/>
        <w:bottom w:val="none" w:sz="0" w:space="0" w:color="auto"/>
        <w:right w:val="none" w:sz="0" w:space="0" w:color="auto"/>
      </w:divBdr>
    </w:div>
    <w:div w:id="1917327092">
      <w:bodyDiv w:val="1"/>
      <w:marLeft w:val="0"/>
      <w:marRight w:val="0"/>
      <w:marTop w:val="0"/>
      <w:marBottom w:val="0"/>
      <w:divBdr>
        <w:top w:val="none" w:sz="0" w:space="0" w:color="auto"/>
        <w:left w:val="none" w:sz="0" w:space="0" w:color="auto"/>
        <w:bottom w:val="none" w:sz="0" w:space="0" w:color="auto"/>
        <w:right w:val="none" w:sz="0" w:space="0" w:color="auto"/>
      </w:divBdr>
    </w:div>
    <w:div w:id="1937712340">
      <w:bodyDiv w:val="1"/>
      <w:marLeft w:val="0"/>
      <w:marRight w:val="0"/>
      <w:marTop w:val="0"/>
      <w:marBottom w:val="0"/>
      <w:divBdr>
        <w:top w:val="none" w:sz="0" w:space="0" w:color="auto"/>
        <w:left w:val="none" w:sz="0" w:space="0" w:color="auto"/>
        <w:bottom w:val="none" w:sz="0" w:space="0" w:color="auto"/>
        <w:right w:val="none" w:sz="0" w:space="0" w:color="auto"/>
      </w:divBdr>
    </w:div>
    <w:div w:id="2036224007">
      <w:bodyDiv w:val="1"/>
      <w:marLeft w:val="0"/>
      <w:marRight w:val="0"/>
      <w:marTop w:val="0"/>
      <w:marBottom w:val="0"/>
      <w:divBdr>
        <w:top w:val="none" w:sz="0" w:space="0" w:color="auto"/>
        <w:left w:val="none" w:sz="0" w:space="0" w:color="auto"/>
        <w:bottom w:val="none" w:sz="0" w:space="0" w:color="auto"/>
        <w:right w:val="none" w:sz="0" w:space="0" w:color="auto"/>
      </w:divBdr>
    </w:div>
    <w:div w:id="2077122348">
      <w:bodyDiv w:val="1"/>
      <w:marLeft w:val="0"/>
      <w:marRight w:val="0"/>
      <w:marTop w:val="0"/>
      <w:marBottom w:val="0"/>
      <w:divBdr>
        <w:top w:val="none" w:sz="0" w:space="0" w:color="auto"/>
        <w:left w:val="none" w:sz="0" w:space="0" w:color="auto"/>
        <w:bottom w:val="none" w:sz="0" w:space="0" w:color="auto"/>
        <w:right w:val="none" w:sz="0" w:space="0" w:color="auto"/>
      </w:divBdr>
    </w:div>
    <w:div w:id="2087724243">
      <w:bodyDiv w:val="1"/>
      <w:marLeft w:val="0"/>
      <w:marRight w:val="0"/>
      <w:marTop w:val="0"/>
      <w:marBottom w:val="0"/>
      <w:divBdr>
        <w:top w:val="none" w:sz="0" w:space="0" w:color="auto"/>
        <w:left w:val="none" w:sz="0" w:space="0" w:color="auto"/>
        <w:bottom w:val="none" w:sz="0" w:space="0" w:color="auto"/>
        <w:right w:val="none" w:sz="0" w:space="0" w:color="auto"/>
      </w:divBdr>
    </w:div>
    <w:div w:id="213628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hyperlink" Target="https://doi.org/10.1016/j.cell.2020.03.0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38/s41586-020-2012-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25DA6-0E96-47D7-BF8A-042A827BE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4517</Words>
  <Characters>24849</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HUCSC</Company>
  <LinksUpToDate>false</LinksUpToDate>
  <CharactersWithSpaces>29308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Garcia</dc:creator>
  <cp:keywords/>
  <dc:description/>
  <cp:lastModifiedBy>Federico Garcia</cp:lastModifiedBy>
  <cp:revision>5</cp:revision>
  <dcterms:created xsi:type="dcterms:W3CDTF">2021-11-22T06:53:00Z</dcterms:created>
  <dcterms:modified xsi:type="dcterms:W3CDTF">2021-11-22T07:15:00Z</dcterms:modified>
</cp:coreProperties>
</file>